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bidiVisual/>
        <w:tblW w:w="0" w:type="auto"/>
        <w:tblInd w:w="23" w:type="dxa"/>
        <w:tblLayout w:type="fixed"/>
        <w:tblCellMar>
          <w:top w:w="0" w:type="dxa"/>
          <w:left w:w="108" w:type="dxa"/>
          <w:bottom w:w="0" w:type="dxa"/>
          <w:right w:w="108" w:type="dxa"/>
        </w:tblCellMar>
      </w:tblPr>
      <w:tblGrid>
        <w:gridCol w:w="1803"/>
        <w:gridCol w:w="850"/>
        <w:gridCol w:w="1133"/>
      </w:tblGrid>
      <w:tr w14:paraId="6B976155">
        <w:tblPrEx>
          <w:tblLayout w:type="fixed"/>
        </w:tblPrEx>
        <w:trPr>
          <w:trHeight w:val="761" w:hRule="atLeast"/>
        </w:trPr>
        <w:tc>
          <w:tcPr>
            <w:tcW w:w="1803" w:type="dxa"/>
          </w:tcPr>
          <w:p w14:paraId="7EB80E57">
            <w:pPr>
              <w:pStyle w:val="52"/>
              <w:bidi/>
              <w:spacing w:before="0" w:after="0"/>
              <w:ind w:right="1260"/>
              <w:jc w:val="left"/>
              <w:rPr>
                <w:rFonts w:eastAsia="Times New Roman" w:asciiTheme="majorBidi" w:hAnsiTheme="majorBidi" w:cstheme="majorBidi"/>
                <w:b/>
                <w:bCs/>
                <w:sz w:val="44"/>
                <w:szCs w:val="44"/>
                <w:lang w:eastAsia="ar-SA"/>
              </w:rPr>
            </w:pPr>
            <w:bookmarkStart w:id="0" w:name="_GoBack"/>
            <w:bookmarkEnd w:id="0"/>
            <w:r>
              <w:rPr>
                <w:rFonts w:eastAsia="Times New Roman" w:asciiTheme="majorBidi" w:hAnsiTheme="majorBidi" w:cstheme="majorBidi"/>
                <w:b/>
                <w:bCs/>
                <w:sz w:val="44"/>
                <w:szCs w:val="44"/>
                <w:lang w:eastAsia="en-US"/>
              </w:rPr>
              <w:drawing>
                <wp:inline distT="0" distB="0" distL="0" distR="0">
                  <wp:extent cx="1005840" cy="54102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05840" cy="541020"/>
                          </a:xfrm>
                          <a:prstGeom prst="rect">
                            <a:avLst/>
                          </a:prstGeom>
                          <a:noFill/>
                          <a:ln>
                            <a:noFill/>
                          </a:ln>
                        </pic:spPr>
                      </pic:pic>
                    </a:graphicData>
                  </a:graphic>
                </wp:inline>
              </w:drawing>
            </w:r>
          </w:p>
        </w:tc>
        <w:tc>
          <w:tcPr>
            <w:tcW w:w="850" w:type="dxa"/>
          </w:tcPr>
          <w:p w14:paraId="15714878">
            <w:pPr>
              <w:pStyle w:val="52"/>
              <w:bidi/>
              <w:spacing w:before="0" w:after="0"/>
              <w:ind w:right="1260"/>
              <w:jc w:val="left"/>
              <w:rPr>
                <w:rFonts w:eastAsia="Times New Roman" w:asciiTheme="majorBidi" w:hAnsiTheme="majorBidi" w:cstheme="majorBidi"/>
                <w:b/>
                <w:bCs/>
                <w:sz w:val="44"/>
                <w:szCs w:val="44"/>
                <w:lang w:eastAsia="ar-SA"/>
              </w:rPr>
            </w:pPr>
            <w:r>
              <w:rPr>
                <w:rFonts w:eastAsia="Times New Roman" w:asciiTheme="majorBidi" w:hAnsiTheme="majorBidi" w:cstheme="majorBidi"/>
                <w:b/>
                <w:bCs/>
                <w:sz w:val="44"/>
                <w:szCs w:val="44"/>
                <w:lang w:eastAsia="en-US"/>
              </w:rPr>
              <w:drawing>
                <wp:inline distT="0" distB="0" distL="0" distR="0">
                  <wp:extent cx="552450" cy="523875"/>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2450" cy="523875"/>
                          </a:xfrm>
                          <a:prstGeom prst="rect">
                            <a:avLst/>
                          </a:prstGeom>
                          <a:noFill/>
                        </pic:spPr>
                      </pic:pic>
                    </a:graphicData>
                  </a:graphic>
                </wp:inline>
              </w:drawing>
            </w:r>
          </w:p>
        </w:tc>
        <w:tc>
          <w:tcPr>
            <w:tcW w:w="1133" w:type="dxa"/>
          </w:tcPr>
          <w:p w14:paraId="26448FED">
            <w:pPr>
              <w:pStyle w:val="52"/>
              <w:bidi/>
              <w:spacing w:before="0" w:after="0"/>
              <w:ind w:right="1260"/>
              <w:jc w:val="left"/>
              <w:rPr>
                <w:rFonts w:eastAsia="Times New Roman" w:asciiTheme="majorBidi" w:hAnsiTheme="majorBidi" w:cstheme="majorBidi"/>
                <w:b/>
                <w:bCs/>
                <w:sz w:val="44"/>
                <w:szCs w:val="44"/>
                <w:lang w:eastAsia="ar-SA"/>
              </w:rPr>
            </w:pPr>
            <w:r>
              <w:rPr>
                <w:rFonts w:eastAsia="Times New Roman" w:asciiTheme="majorBidi" w:hAnsiTheme="majorBidi" w:cstheme="majorBidi"/>
                <w:b/>
                <w:bCs/>
                <w:sz w:val="44"/>
                <w:szCs w:val="44"/>
                <w:lang w:eastAsia="en-US"/>
              </w:rPr>
              <w:drawing>
                <wp:inline distT="0" distB="0" distL="0" distR="0">
                  <wp:extent cx="547370" cy="4064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7370" cy="406400"/>
                          </a:xfrm>
                          <a:prstGeom prst="rect">
                            <a:avLst/>
                          </a:prstGeom>
                          <a:noFill/>
                        </pic:spPr>
                      </pic:pic>
                    </a:graphicData>
                  </a:graphic>
                </wp:inline>
              </w:drawing>
            </w:r>
          </w:p>
        </w:tc>
      </w:tr>
    </w:tbl>
    <w:p w14:paraId="610F650D">
      <w:pPr>
        <w:pStyle w:val="42"/>
        <w:spacing w:before="0" w:after="0" w:line="240" w:lineRule="auto"/>
        <w:jc w:val="center"/>
        <w:rPr>
          <w:rFonts w:eastAsia="Times New Roman"/>
          <w:kern w:val="0"/>
          <w:sz w:val="2"/>
          <w:szCs w:val="2"/>
          <w:lang w:val="en-US"/>
          <w14:ligatures w14:val="none"/>
        </w:rPr>
      </w:pPr>
    </w:p>
    <w:p w14:paraId="07019E46">
      <w:pPr>
        <w:pStyle w:val="42"/>
        <w:spacing w:before="0" w:after="0" w:line="240" w:lineRule="auto"/>
        <w:jc w:val="center"/>
        <w:rPr>
          <w:rFonts w:eastAsia="Times New Roman"/>
          <w:kern w:val="0"/>
          <w:sz w:val="28"/>
          <w:szCs w:val="28"/>
          <w:lang w:val="en-US"/>
          <w14:ligatures w14:val="none"/>
        </w:rPr>
      </w:pPr>
      <w:r>
        <w:rPr>
          <w:rFonts w:eastAsia="Times New Roman"/>
          <w:kern w:val="0"/>
          <w:sz w:val="28"/>
          <w:szCs w:val="28"/>
          <w:lang w:val="en-US"/>
          <w14:ligatures w14:val="none"/>
        </w:rPr>
        <w:t>Retinoid Acid-Related Orphan Receptor Alpha (RORα) Serum Level and Gene Polymorphism in Acne Vulgaris Patients</w:t>
      </w:r>
    </w:p>
    <w:p w14:paraId="6E2AC2BE">
      <w:pPr>
        <w:spacing w:line="240" w:lineRule="auto"/>
        <w:ind w:firstLine="0"/>
        <w:rPr>
          <w:rFonts w:ascii="Times New Roman" w:hAnsi="Times New Roman" w:eastAsia="Times New Roman" w:cs="Times New Roman"/>
          <w:b/>
          <w:bCs/>
          <w:sz w:val="24"/>
          <w:szCs w:val="24"/>
          <w:lang w:bidi="ar-EG"/>
          <w14:ligatures w14:val="none"/>
        </w:rPr>
      </w:pPr>
      <w:r>
        <w:rPr>
          <w:rFonts w:ascii="Times New Roman" w:hAnsi="Times New Roman" w:eastAsia="Times New Roman" w:cs="Times New Roman"/>
          <w:b/>
          <w:bCs/>
          <w:sz w:val="24"/>
          <w:szCs w:val="24"/>
          <w:vertAlign w:val="superscript"/>
          <w:lang w:bidi="ar-EG"/>
          <w14:ligatures w14:val="none"/>
        </w:rPr>
        <w:t>1</w:t>
      </w:r>
      <w:r>
        <w:rPr>
          <w:rFonts w:ascii="Times New Roman" w:hAnsi="Times New Roman" w:eastAsia="Times New Roman" w:cs="Times New Roman"/>
          <w:b/>
          <w:bCs/>
          <w:sz w:val="24"/>
          <w:szCs w:val="24"/>
          <w:lang w:bidi="ar-EG"/>
          <w14:ligatures w14:val="none"/>
        </w:rPr>
        <w:t xml:space="preserve">Prof. Dr. Hanan Hassan Sabry, </w:t>
      </w:r>
      <w:r>
        <w:rPr>
          <w:rFonts w:ascii="Times New Roman" w:hAnsi="Times New Roman" w:eastAsia="Times New Roman" w:cs="Times New Roman"/>
          <w:b/>
          <w:bCs/>
          <w:sz w:val="24"/>
          <w:szCs w:val="24"/>
          <w:vertAlign w:val="superscript"/>
          <w:lang w:bidi="ar-EG"/>
          <w14:ligatures w14:val="none"/>
        </w:rPr>
        <w:t>2</w:t>
      </w:r>
      <w:r>
        <w:rPr>
          <w:rFonts w:ascii="Times New Roman" w:hAnsi="Times New Roman" w:eastAsia="Times New Roman" w:cs="Times New Roman"/>
          <w:b/>
          <w:bCs/>
          <w:sz w:val="24"/>
          <w:szCs w:val="24"/>
          <w:lang w:bidi="ar-EG"/>
          <w14:ligatures w14:val="none"/>
        </w:rPr>
        <w:t xml:space="preserve">Prof. Dr. Ahmed Mohamed Hamed, </w:t>
      </w:r>
      <w:r>
        <w:rPr>
          <w:rFonts w:ascii="Times New Roman" w:hAnsi="Times New Roman" w:eastAsia="Times New Roman" w:cs="Times New Roman"/>
          <w:b/>
          <w:bCs/>
          <w:sz w:val="24"/>
          <w:szCs w:val="24"/>
          <w:vertAlign w:val="superscript"/>
          <w:lang w:bidi="ar-EG"/>
          <w14:ligatures w14:val="none"/>
        </w:rPr>
        <w:t>3</w:t>
      </w:r>
      <w:r>
        <w:rPr>
          <w:rFonts w:ascii="Times New Roman" w:hAnsi="Times New Roman" w:eastAsia="Times New Roman" w:cs="Times New Roman"/>
          <w:b/>
          <w:bCs/>
          <w:sz w:val="24"/>
          <w:szCs w:val="24"/>
          <w:lang w:bidi="ar-EG"/>
          <w14:ligatures w14:val="none"/>
        </w:rPr>
        <w:t xml:space="preserve">Prof. Dr. Naglaa Fathy Alhusseini, </w:t>
      </w:r>
      <w:r>
        <w:rPr>
          <w:rFonts w:ascii="Times New Roman" w:hAnsi="Times New Roman" w:eastAsia="Times New Roman" w:cs="Times New Roman"/>
          <w:b/>
          <w:bCs/>
          <w:sz w:val="24"/>
          <w:szCs w:val="24"/>
          <w:vertAlign w:val="superscript"/>
          <w:lang w:bidi="ar-EG"/>
          <w14:ligatures w14:val="none"/>
        </w:rPr>
        <w:t>4</w:t>
      </w:r>
      <w:r>
        <w:rPr>
          <w:rFonts w:ascii="Times New Roman" w:hAnsi="Times New Roman" w:eastAsia="Times New Roman" w:cs="Times New Roman"/>
          <w:b/>
          <w:bCs/>
          <w:sz w:val="24"/>
          <w:szCs w:val="24"/>
          <w:lang w:bidi="ar-EG"/>
          <w14:ligatures w14:val="none"/>
        </w:rPr>
        <w:t>Bousi Elnady Mohamed Yousef</w:t>
      </w:r>
    </w:p>
    <w:p w14:paraId="19764B80">
      <w:pPr>
        <w:spacing w:line="240" w:lineRule="auto"/>
        <w:ind w:firstLine="0"/>
        <w:rPr>
          <w:rFonts w:ascii="Times New Roman" w:hAnsi="Times New Roman" w:eastAsia="Times New Roman" w:cs="Times New Roman"/>
          <w:sz w:val="24"/>
          <w:szCs w:val="24"/>
          <w:lang w:bidi="ar-EG"/>
          <w14:ligatures w14:val="none"/>
        </w:rPr>
      </w:pPr>
      <w:r>
        <w:rPr>
          <w:rFonts w:ascii="Times New Roman" w:hAnsi="Times New Roman" w:eastAsia="Times New Roman" w:cs="Times New Roman"/>
          <w:sz w:val="24"/>
          <w:szCs w:val="24"/>
          <w:vertAlign w:val="superscript"/>
          <w:lang w:bidi="ar-EG"/>
          <w14:ligatures w14:val="none"/>
        </w:rPr>
        <w:t>1</w:t>
      </w:r>
      <w:r>
        <w:rPr>
          <w:rFonts w:ascii="Times New Roman" w:hAnsi="Times New Roman" w:eastAsia="Times New Roman" w:cs="Times New Roman"/>
          <w:sz w:val="24"/>
          <w:szCs w:val="24"/>
          <w:lang w:bidi="ar-EG"/>
          <w14:ligatures w14:val="none"/>
        </w:rPr>
        <w:t>Professor of Dermatology, Venereology and Andrology - Faculty of medicine – Benha University</w:t>
      </w:r>
    </w:p>
    <w:p w14:paraId="2CC43C0E">
      <w:pPr>
        <w:spacing w:line="240" w:lineRule="auto"/>
        <w:ind w:firstLine="0"/>
        <w:rPr>
          <w:rFonts w:ascii="Times New Roman" w:hAnsi="Times New Roman" w:eastAsia="Times New Roman" w:cs="Times New Roman"/>
          <w:sz w:val="24"/>
          <w:szCs w:val="24"/>
          <w:lang w:bidi="ar-EG"/>
          <w14:ligatures w14:val="none"/>
        </w:rPr>
      </w:pPr>
      <w:r>
        <w:rPr>
          <w:rFonts w:ascii="Times New Roman" w:hAnsi="Times New Roman" w:eastAsia="Times New Roman" w:cs="Times New Roman"/>
          <w:sz w:val="24"/>
          <w:szCs w:val="24"/>
          <w:vertAlign w:val="superscript"/>
          <w:lang w:bidi="ar-EG"/>
          <w14:ligatures w14:val="none"/>
        </w:rPr>
        <w:t>2</w:t>
      </w:r>
      <w:r>
        <w:rPr>
          <w:rFonts w:ascii="Times New Roman" w:hAnsi="Times New Roman" w:eastAsia="Times New Roman" w:cs="Times New Roman"/>
          <w:sz w:val="24"/>
          <w:szCs w:val="24"/>
          <w:lang w:bidi="ar-EG"/>
          <w14:ligatures w14:val="none"/>
        </w:rPr>
        <w:t>Professor of Dermatology, Venereology and Andrology - Faculty of medicine – Benha University</w:t>
      </w:r>
    </w:p>
    <w:p w14:paraId="6C3A568E">
      <w:pPr>
        <w:spacing w:line="240" w:lineRule="auto"/>
        <w:ind w:firstLine="0"/>
        <w:rPr>
          <w:rFonts w:ascii="Times New Roman" w:hAnsi="Times New Roman" w:eastAsia="Times New Roman" w:cs="Times New Roman"/>
          <w:sz w:val="24"/>
          <w:szCs w:val="24"/>
          <w:lang w:bidi="ar-EG"/>
          <w14:ligatures w14:val="none"/>
        </w:rPr>
      </w:pPr>
      <w:r>
        <w:rPr>
          <w:rFonts w:ascii="Times New Roman" w:hAnsi="Times New Roman" w:eastAsia="Times New Roman" w:cs="Times New Roman"/>
          <w:sz w:val="24"/>
          <w:szCs w:val="24"/>
          <w:vertAlign w:val="superscript"/>
          <w:lang w:bidi="ar-EG"/>
          <w14:ligatures w14:val="none"/>
        </w:rPr>
        <w:t>3</w:t>
      </w:r>
      <w:r>
        <w:rPr>
          <w:rFonts w:ascii="Times New Roman" w:hAnsi="Times New Roman" w:eastAsia="Times New Roman" w:cs="Times New Roman"/>
          <w:sz w:val="24"/>
          <w:szCs w:val="24"/>
          <w:lang w:bidi="ar-EG"/>
          <w14:ligatures w14:val="none"/>
        </w:rPr>
        <w:t>Professor of Medical Biochemistry &amp; Molecular Biology Head of Molecular Biology unit - Faculty of medicine – Benha University</w:t>
      </w:r>
    </w:p>
    <w:p w14:paraId="4540F0B5">
      <w:pPr>
        <w:spacing w:line="240" w:lineRule="auto"/>
        <w:ind w:firstLine="0"/>
        <w:rPr>
          <w:rFonts w:ascii="Times New Roman" w:hAnsi="Times New Roman" w:eastAsia="Times New Roman" w:cs="Times New Roman"/>
          <w:sz w:val="24"/>
          <w:szCs w:val="24"/>
          <w:lang w:bidi="ar-EG"/>
          <w14:ligatures w14:val="none"/>
        </w:rPr>
      </w:pPr>
      <w:r>
        <w:rPr>
          <w:rFonts w:ascii="Times New Roman" w:hAnsi="Times New Roman" w:eastAsia="Times New Roman" w:cs="Times New Roman"/>
          <w:sz w:val="24"/>
          <w:szCs w:val="24"/>
          <w:vertAlign w:val="superscript"/>
          <w:lang w:bidi="ar-EG"/>
          <w14:ligatures w14:val="none"/>
        </w:rPr>
        <w:t>4</w:t>
      </w:r>
      <w:r>
        <w:rPr>
          <w:rFonts w:ascii="Times New Roman" w:hAnsi="Times New Roman" w:eastAsia="Times New Roman" w:cs="Times New Roman"/>
          <w:sz w:val="24"/>
          <w:szCs w:val="24"/>
          <w:lang w:bidi="ar-EG"/>
          <w14:ligatures w14:val="none"/>
        </w:rPr>
        <w:t>M.B.B.Ch (2017),M.s.c (2022)</w:t>
      </w:r>
    </w:p>
    <w:p w14:paraId="66705A64">
      <w:pPr>
        <w:spacing w:line="240" w:lineRule="auto"/>
        <w:ind w:firstLine="0"/>
        <w:rPr>
          <w:rFonts w:eastAsia="Times New Roman" w:asciiTheme="majorBidi" w:hAnsiTheme="majorBidi" w:cstheme="majorBidi"/>
          <w:b/>
          <w:bCs/>
          <w:kern w:val="2"/>
          <w:sz w:val="24"/>
          <w:szCs w:val="24"/>
        </w:rPr>
      </w:pPr>
      <w:r>
        <w:rPr>
          <w:rFonts w:eastAsia="Times New Roman" w:asciiTheme="majorBidi" w:hAnsiTheme="majorBidi" w:cstheme="majorBidi"/>
          <w:b/>
          <w:bCs/>
          <w:kern w:val="2"/>
          <w:sz w:val="24"/>
          <w:szCs w:val="24"/>
        </w:rPr>
        <w:t>Email:</w:t>
      </w:r>
      <w:r>
        <w:rPr>
          <w:rFonts w:hint="cs" w:eastAsia="Times New Roman" w:asciiTheme="majorBidi" w:hAnsiTheme="majorBidi" w:cstheme="majorBidi"/>
          <w:b/>
          <w:bCs/>
          <w:kern w:val="2"/>
          <w:sz w:val="24"/>
          <w:szCs w:val="24"/>
        </w:rPr>
        <w:t xml:space="preserve"> </w:t>
      </w:r>
      <w:r>
        <w:fldChar w:fldCharType="begin"/>
      </w:r>
      <w:r>
        <w:instrText xml:space="preserve"> HYPERLINK "mailto:bousielnady56@gmail.com" </w:instrText>
      </w:r>
      <w:r>
        <w:fldChar w:fldCharType="separate"/>
      </w:r>
      <w:r>
        <w:rPr>
          <w:rStyle w:val="19"/>
          <w:rFonts w:eastAsia="Times New Roman" w:asciiTheme="majorBidi" w:hAnsiTheme="majorBidi" w:cstheme="majorBidi"/>
          <w:b/>
          <w:bCs/>
          <w:kern w:val="2"/>
          <w:sz w:val="24"/>
          <w:szCs w:val="24"/>
        </w:rPr>
        <w:t>bousielnady56@gmail.com</w:t>
      </w:r>
      <w:r>
        <w:rPr>
          <w:rStyle w:val="19"/>
          <w:rFonts w:eastAsia="Times New Roman" w:asciiTheme="majorBidi" w:hAnsiTheme="majorBidi" w:cstheme="majorBidi"/>
          <w:b/>
          <w:bCs/>
          <w:kern w:val="2"/>
          <w:sz w:val="24"/>
          <w:szCs w:val="24"/>
        </w:rPr>
        <w:fldChar w:fldCharType="end"/>
      </w:r>
      <w:r>
        <w:rPr>
          <w:rFonts w:hint="cs" w:eastAsia="Times New Roman" w:asciiTheme="majorBidi" w:hAnsiTheme="majorBidi" w:cstheme="majorBidi"/>
          <w:b/>
          <w:bCs/>
          <w:kern w:val="2"/>
          <w:sz w:val="24"/>
          <w:szCs w:val="24"/>
        </w:rPr>
        <w:t xml:space="preserve"> </w:t>
      </w:r>
    </w:p>
    <w:p w14:paraId="270FF780">
      <w:pPr>
        <w:pStyle w:val="42"/>
        <w:spacing w:before="0" w:after="0" w:line="240" w:lineRule="auto"/>
      </w:pPr>
      <w:r>
        <w:t>Abstract</w:t>
      </w:r>
    </w:p>
    <w:p w14:paraId="3608D6EA">
      <w:pPr>
        <w:pStyle w:val="44"/>
        <w:spacing w:after="0" w:line="240" w:lineRule="auto"/>
        <w:ind w:firstLine="0"/>
      </w:pPr>
      <w:r>
        <w:t xml:space="preserve">Acne is a </w:t>
      </w:r>
      <w:r>
        <w:rPr>
          <w:color w:val="000000" w:themeColor="text1"/>
          <w:kern w:val="2"/>
          <w14:textFill>
            <w14:solidFill>
              <w14:schemeClr w14:val="tx1"/>
            </w14:solidFill>
          </w14:textFill>
        </w:rPr>
        <w:t xml:space="preserve">persistent </w:t>
      </w:r>
      <w:r>
        <w:t>inflammatory disease of the pilosebaceous unit in which Cutibacterium acnes–induced immune dysregulation has a central function. Retinoic acid receptor-related orphan receptor alpha (RORA), essential transcription factor regulating Th17 differentiation and inflammatory responses via the JAK/STAT pathway, is involved in several chronic inflammatory diseases, suggesting a potential function in acne pathogenesis. This work aims</w:t>
      </w:r>
      <w:r>
        <w:rPr>
          <w:b/>
          <w:bCs/>
        </w:rPr>
        <w:t xml:space="preserve"> </w:t>
      </w:r>
      <w:r>
        <w:t>to explain pathogenesis of acne vulgaris, pivotal function of Th17 and its relation to serum level of RORA and its gene polymorphism.</w:t>
      </w:r>
      <w:r>
        <w:rPr>
          <w:rFonts w:ascii="Times New Roman" w:hAnsi="Times New Roman" w:eastAsia="Times New Roman" w:cs="Times New Roman"/>
          <w:b/>
          <w:bCs/>
        </w:rPr>
        <w:t xml:space="preserve"> </w:t>
      </w:r>
      <w:r>
        <w:t xml:space="preserve">The significant elevation of serum RORA protein levels and the predominance of polymorphic RORA genotypes in patients with acne vulgaris suggest an essential function for RORA in acne pathogenesis. </w:t>
      </w:r>
    </w:p>
    <w:p w14:paraId="7D3496AC">
      <w:pPr>
        <w:pStyle w:val="44"/>
        <w:spacing w:after="0" w:line="240" w:lineRule="auto"/>
        <w:ind w:firstLine="0"/>
      </w:pPr>
      <w:r>
        <w:rPr>
          <w:b/>
          <w:bCs/>
        </w:rPr>
        <w:t xml:space="preserve">Keywords: </w:t>
      </w:r>
      <w:r>
        <w:t>RORA; Polymorphism; Th17 pathway; Serum biomarkers; GAGS; Inflamatory dermatosis.</w:t>
      </w:r>
    </w:p>
    <w:p w14:paraId="4DDCCFF6">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sectPr>
          <w:headerReference r:id="rId3" w:type="default"/>
          <w:footerReference r:id="rId4" w:type="default"/>
          <w:type w:val="continuous"/>
          <w:pgSz w:w="11906" w:h="16838"/>
          <w:pgMar w:top="1440" w:right="1800" w:bottom="1440" w:left="1800" w:header="720" w:footer="720" w:gutter="0"/>
          <w:cols w:space="708" w:num="1"/>
          <w:docGrid w:linePitch="360" w:charSpace="0"/>
        </w:sectPr>
      </w:pPr>
    </w:p>
    <w:p w14:paraId="6136FD9E">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 xml:space="preserve">1. Acne Vulgaris </w:t>
      </w:r>
    </w:p>
    <w:p w14:paraId="2B948905">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Definition</w:t>
      </w:r>
    </w:p>
    <w:p w14:paraId="57F6769F">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Acne vulgaris (AV) is a persistent inflammatory disease affecting the </w:t>
      </w:r>
      <w:r>
        <w:rPr>
          <w:rFonts w:asciiTheme="majorBidi" w:hAnsiTheme="majorBidi" w:cstheme="majorBidi"/>
          <w:color w:val="000000" w:themeColor="text1"/>
          <w:kern w:val="2"/>
          <w:sz w:val="24"/>
          <w:szCs w:val="24"/>
          <w14:textFill>
            <w14:solidFill>
              <w14:schemeClr w14:val="tx1"/>
            </w14:solidFill>
          </w14:textFill>
        </w:rPr>
        <w:t>pilosebaceous</w:t>
      </w:r>
      <w:r>
        <w:rPr>
          <w:rFonts w:asciiTheme="majorBidi" w:hAnsiTheme="majorBidi" w:cstheme="majorBidi"/>
          <w:color w:val="000000" w:themeColor="text1"/>
          <w:kern w:val="2"/>
          <w:sz w:val="24"/>
          <w:szCs w:val="24"/>
          <w14:textFill>
            <w14:solidFill>
              <w14:schemeClr w14:val="tx1"/>
            </w14:solidFill>
          </w14:textFill>
        </w:rPr>
        <w:t xml:space="preserve"> units. The initial phase of acne involves the formation of </w:t>
      </w:r>
      <w:r>
        <w:rPr>
          <w:rFonts w:asciiTheme="majorBidi" w:hAnsiTheme="majorBidi" w:cstheme="majorBidi"/>
          <w:color w:val="000000" w:themeColor="text1"/>
          <w:kern w:val="2"/>
          <w:sz w:val="24"/>
          <w:szCs w:val="24"/>
          <w14:textFill>
            <w14:solidFill>
              <w14:schemeClr w14:val="tx1"/>
            </w14:solidFill>
          </w14:textFill>
        </w:rPr>
        <w:t>microcomedones</w:t>
      </w:r>
      <w:r>
        <w:rPr>
          <w:rFonts w:asciiTheme="majorBidi" w:hAnsiTheme="majorBidi" w:cstheme="majorBidi"/>
          <w:color w:val="000000" w:themeColor="text1"/>
          <w:kern w:val="2"/>
          <w:sz w:val="24"/>
          <w:szCs w:val="24"/>
          <w14:textFill>
            <w14:solidFill>
              <w14:schemeClr w14:val="tx1"/>
            </w14:solidFill>
          </w14:textFill>
        </w:rPr>
        <w:t xml:space="preserve"> gradually </w:t>
      </w:r>
      <w:r>
        <w:rPr>
          <w:rFonts w:asciiTheme="majorBidi" w:hAnsiTheme="majorBidi" w:cstheme="majorBidi"/>
          <w:color w:val="000000" w:themeColor="text1"/>
          <w:kern w:val="2"/>
          <w:sz w:val="24"/>
          <w:szCs w:val="24"/>
          <w14:textFill>
            <w14:solidFill>
              <w14:schemeClr w14:val="tx1"/>
            </w14:solidFill>
          </w14:textFill>
        </w:rPr>
        <w:t>developping</w:t>
      </w:r>
      <w:r>
        <w:rPr>
          <w:rFonts w:asciiTheme="majorBidi" w:hAnsiTheme="majorBidi" w:cstheme="majorBidi"/>
          <w:color w:val="000000" w:themeColor="text1"/>
          <w:kern w:val="2"/>
          <w:sz w:val="24"/>
          <w:szCs w:val="24"/>
          <w14:textFill>
            <w14:solidFill>
              <w14:schemeClr w14:val="tx1"/>
            </w14:solidFill>
          </w14:textFill>
        </w:rPr>
        <w:t xml:space="preserve"> open (blackheads) and closed (whiteheads) </w:t>
      </w:r>
      <w:r>
        <w:rPr>
          <w:rFonts w:asciiTheme="majorBidi" w:hAnsiTheme="majorBidi" w:cstheme="majorBidi"/>
          <w:color w:val="000000" w:themeColor="text1"/>
          <w:kern w:val="2"/>
          <w:sz w:val="24"/>
          <w:szCs w:val="24"/>
          <w14:textFill>
            <w14:solidFill>
              <w14:schemeClr w14:val="tx1"/>
            </w14:solidFill>
          </w14:textFill>
        </w:rPr>
        <w:t>comedones</w:t>
      </w:r>
      <w:r>
        <w:rPr>
          <w:rFonts w:asciiTheme="majorBidi" w:hAnsiTheme="majorBidi" w:cstheme="majorBidi"/>
          <w:color w:val="000000" w:themeColor="text1"/>
          <w:kern w:val="2"/>
          <w:sz w:val="24"/>
          <w:szCs w:val="24"/>
          <w14:textFill>
            <w14:solidFill>
              <w14:schemeClr w14:val="tx1"/>
            </w14:solidFill>
          </w14:textFill>
        </w:rPr>
        <w:t xml:space="preserve"> </w:t>
      </w:r>
      <w:r>
        <w:rPr>
          <w:rFonts w:asciiTheme="majorBidi" w:hAnsiTheme="majorBidi" w:cstheme="majorBidi"/>
          <w:b/>
          <w:bCs/>
          <w:color w:val="000000" w:themeColor="text1"/>
          <w:kern w:val="2"/>
          <w:sz w:val="24"/>
          <w:szCs w:val="24"/>
          <w14:textFill>
            <w14:solidFill>
              <w14:schemeClr w14:val="tx1"/>
            </w14:solidFill>
          </w14:textFill>
        </w:rPr>
        <w:t>(Vary, 2016).</w:t>
      </w:r>
    </w:p>
    <w:p w14:paraId="65E8AF5D">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Pathogenesis</w:t>
      </w:r>
    </w:p>
    <w:p w14:paraId="237679B6">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 xml:space="preserve">A. Role of </w:t>
      </w:r>
      <w:r>
        <w:rPr>
          <w:rFonts w:asciiTheme="majorBidi" w:hAnsiTheme="majorBidi" w:cstheme="majorBidi"/>
          <w:b/>
          <w:bCs/>
          <w:color w:val="000000" w:themeColor="text1"/>
          <w:kern w:val="2"/>
          <w:sz w:val="24"/>
          <w:szCs w:val="24"/>
          <w14:textFill>
            <w14:solidFill>
              <w14:schemeClr w14:val="tx1"/>
            </w14:solidFill>
          </w14:textFill>
        </w:rPr>
        <w:t>Cutibacterium</w:t>
      </w:r>
      <w:r>
        <w:rPr>
          <w:rFonts w:asciiTheme="majorBidi" w:hAnsiTheme="majorBidi" w:cstheme="majorBidi"/>
          <w:b/>
          <w:bCs/>
          <w:color w:val="000000" w:themeColor="text1"/>
          <w:kern w:val="2"/>
          <w:sz w:val="24"/>
          <w:szCs w:val="24"/>
          <w14:textFill>
            <w14:solidFill>
              <w14:schemeClr w14:val="tx1"/>
            </w14:solidFill>
          </w14:textFill>
        </w:rPr>
        <w:t xml:space="preserve"> acne</w:t>
      </w:r>
    </w:p>
    <w:p w14:paraId="1993AB62">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A key pathogenic feature of </w:t>
      </w:r>
      <w:r>
        <w:rPr>
          <w:rFonts w:asciiTheme="majorBidi" w:hAnsiTheme="majorBidi" w:cstheme="majorBidi"/>
          <w:color w:val="000000" w:themeColor="text1"/>
          <w:kern w:val="2"/>
          <w:sz w:val="24"/>
          <w:szCs w:val="24"/>
          <w14:textFill>
            <w14:solidFill>
              <w14:schemeClr w14:val="tx1"/>
            </w14:solidFill>
          </w14:textFill>
        </w:rPr>
        <w:t>Cutibacterium</w:t>
      </w:r>
      <w:r>
        <w:rPr>
          <w:rFonts w:asciiTheme="majorBidi" w:hAnsiTheme="majorBidi" w:cstheme="majorBidi"/>
          <w:color w:val="000000" w:themeColor="text1"/>
          <w:kern w:val="2"/>
          <w:sz w:val="24"/>
          <w:szCs w:val="24"/>
          <w14:textFill>
            <w14:solidFill>
              <w14:schemeClr w14:val="tx1"/>
            </w14:solidFill>
          </w14:textFill>
        </w:rPr>
        <w:t xml:space="preserve"> acnes [C. acnes] </w:t>
      </w:r>
    </w:p>
    <w:p w14:paraId="099FED54">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 is its ability to produce biofilms through the </w:t>
      </w:r>
      <w:r>
        <w:rPr>
          <w:rFonts w:asciiTheme="majorBidi" w:hAnsiTheme="majorBidi" w:cstheme="majorBidi"/>
          <w:color w:val="000000" w:themeColor="text1"/>
          <w:kern w:val="2"/>
          <w:sz w:val="24"/>
          <w:szCs w:val="24"/>
          <w14:textFill>
            <w14:solidFill>
              <w14:schemeClr w14:val="tx1"/>
            </w14:solidFill>
          </w14:textFill>
        </w:rPr>
        <w:t>pilosebaceous</w:t>
      </w:r>
      <w:r>
        <w:rPr>
          <w:rFonts w:asciiTheme="majorBidi" w:hAnsiTheme="majorBidi" w:cstheme="majorBidi"/>
          <w:color w:val="000000" w:themeColor="text1"/>
          <w:kern w:val="2"/>
          <w:sz w:val="24"/>
          <w:szCs w:val="24"/>
          <w14:textFill>
            <w14:solidFill>
              <w14:schemeClr w14:val="tx1"/>
            </w14:solidFill>
          </w14:textFill>
        </w:rPr>
        <w:t xml:space="preserve"> unit. These biofilms enhance bacterial survival under hostile conditions and increase resistance to antimicrobial agents. </w:t>
      </w:r>
      <w:r>
        <w:rPr>
          <w:rFonts w:asciiTheme="majorBidi" w:hAnsiTheme="majorBidi" w:cstheme="majorBidi"/>
          <w:b/>
          <w:bCs/>
          <w:color w:val="000000" w:themeColor="text1"/>
          <w:kern w:val="2"/>
          <w:sz w:val="24"/>
          <w:szCs w:val="24"/>
          <w14:textFill>
            <w14:solidFill>
              <w14:schemeClr w14:val="tx1"/>
            </w14:solidFill>
          </w14:textFill>
        </w:rPr>
        <w:t>(Burkhart &amp; Burkhart, 2007).</w:t>
      </w:r>
      <w:r>
        <w:rPr>
          <w:rFonts w:asciiTheme="majorBidi" w:hAnsiTheme="majorBidi" w:cstheme="majorBidi"/>
          <w:color w:val="000000" w:themeColor="text1"/>
          <w:kern w:val="2"/>
          <w:sz w:val="24"/>
          <w:szCs w:val="24"/>
          <w14:textFill>
            <w14:solidFill>
              <w14:schemeClr w14:val="tx1"/>
            </w14:solidFill>
          </w14:textFill>
        </w:rPr>
        <w:t xml:space="preserve"> </w:t>
      </w:r>
    </w:p>
    <w:p w14:paraId="600DF738">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C. acnes strains isolated from acne-prone skin express distinct virulence genes not commonly found in strains from healthy skin. including lipases, </w:t>
      </w:r>
      <w:r>
        <w:rPr>
          <w:rFonts w:asciiTheme="majorBidi" w:hAnsiTheme="majorBidi" w:cstheme="majorBidi"/>
          <w:color w:val="000000" w:themeColor="text1"/>
          <w:kern w:val="2"/>
          <w:sz w:val="24"/>
          <w:szCs w:val="24"/>
          <w14:textFill>
            <w14:solidFill>
              <w14:schemeClr w14:val="tx1"/>
            </w14:solidFill>
          </w14:textFill>
        </w:rPr>
        <w:t xml:space="preserve">CAMP factors, </w:t>
      </w:r>
      <w:r>
        <w:rPr>
          <w:rFonts w:asciiTheme="majorBidi" w:hAnsiTheme="majorBidi" w:cstheme="majorBidi"/>
          <w:color w:val="000000" w:themeColor="text1"/>
          <w:kern w:val="2"/>
          <w:sz w:val="24"/>
          <w:szCs w:val="24"/>
          <w14:textFill>
            <w14:solidFill>
              <w14:schemeClr w14:val="tx1"/>
            </w14:solidFill>
          </w14:textFill>
        </w:rPr>
        <w:t>hemolysins</w:t>
      </w:r>
      <w:r>
        <w:rPr>
          <w:rFonts w:asciiTheme="majorBidi" w:hAnsiTheme="majorBidi" w:cstheme="majorBidi"/>
          <w:color w:val="000000" w:themeColor="text1"/>
          <w:kern w:val="2"/>
          <w:sz w:val="24"/>
          <w:szCs w:val="24"/>
          <w14:textFill>
            <w14:solidFill>
              <w14:schemeClr w14:val="tx1"/>
            </w14:solidFill>
          </w14:textFill>
        </w:rPr>
        <w:t xml:space="preserve">, and dermatan sulfate–binding </w:t>
      </w:r>
      <w:r>
        <w:rPr>
          <w:rFonts w:asciiTheme="majorBidi" w:hAnsiTheme="majorBidi" w:cstheme="majorBidi"/>
          <w:color w:val="000000" w:themeColor="text1"/>
          <w:kern w:val="2"/>
          <w:sz w:val="24"/>
          <w:szCs w:val="24"/>
          <w14:textFill>
            <w14:solidFill>
              <w14:schemeClr w14:val="tx1"/>
            </w14:solidFill>
          </w14:textFill>
        </w:rPr>
        <w:t>adhesins</w:t>
      </w:r>
      <w:r>
        <w:rPr>
          <w:rFonts w:asciiTheme="majorBidi" w:hAnsiTheme="majorBidi" w:cstheme="majorBidi"/>
          <w:color w:val="000000" w:themeColor="text1"/>
          <w:kern w:val="2"/>
          <w:sz w:val="24"/>
          <w:szCs w:val="24"/>
          <w14:textFill>
            <w14:solidFill>
              <w14:schemeClr w14:val="tx1"/>
            </w14:solidFill>
          </w14:textFill>
        </w:rPr>
        <w:t xml:space="preserve">, which contribute to tissue damage and inflammation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Mayslich</w:t>
      </w:r>
      <w:r>
        <w:rPr>
          <w:rFonts w:asciiTheme="majorBidi" w:hAnsiTheme="majorBidi" w:cstheme="majorBidi"/>
          <w:b/>
          <w:bCs/>
          <w:color w:val="000000" w:themeColor="text1"/>
          <w:kern w:val="2"/>
          <w:sz w:val="24"/>
          <w:szCs w:val="24"/>
          <w14:textFill>
            <w14:solidFill>
              <w14:schemeClr w14:val="tx1"/>
            </w14:solidFill>
          </w14:textFill>
        </w:rPr>
        <w:t xml:space="preserve"> et al., 2021).</w:t>
      </w:r>
      <w:r>
        <w:rPr>
          <w:rFonts w:asciiTheme="majorBidi" w:hAnsiTheme="majorBidi" w:cstheme="majorBidi"/>
          <w:color w:val="000000" w:themeColor="text1"/>
          <w:kern w:val="2"/>
          <w:sz w:val="24"/>
          <w:szCs w:val="24"/>
          <w14:textFill>
            <w14:solidFill>
              <w14:schemeClr w14:val="tx1"/>
            </w14:solidFill>
          </w14:textFill>
        </w:rPr>
        <w:t xml:space="preserve"> Lipase-mediated hydrolysis of sebum triglycerides into free fatty acids induces pro-inflammatory cytokine release, particularly interleukin-1β, promoting perifollicular inflammation.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Jahns</w:t>
      </w:r>
      <w:r>
        <w:rPr>
          <w:rFonts w:asciiTheme="majorBidi" w:hAnsiTheme="majorBidi" w:cstheme="majorBidi"/>
          <w:b/>
          <w:bCs/>
          <w:color w:val="000000" w:themeColor="text1"/>
          <w:kern w:val="2"/>
          <w:sz w:val="24"/>
          <w:szCs w:val="24"/>
          <w14:textFill>
            <w14:solidFill>
              <w14:schemeClr w14:val="tx1"/>
            </w14:solidFill>
          </w14:textFill>
        </w:rPr>
        <w:t xml:space="preserve"> et al., 2016).</w:t>
      </w:r>
    </w:p>
    <w:p w14:paraId="472C24A9">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B. Role of hyper/</w:t>
      </w:r>
      <w:r>
        <w:rPr>
          <w:rFonts w:asciiTheme="majorBidi" w:hAnsiTheme="majorBidi" w:cstheme="majorBidi"/>
          <w:b/>
          <w:bCs/>
          <w:color w:val="000000" w:themeColor="text1"/>
          <w:kern w:val="2"/>
          <w:sz w:val="24"/>
          <w:szCs w:val="24"/>
          <w14:textFill>
            <w14:solidFill>
              <w14:schemeClr w14:val="tx1"/>
            </w14:solidFill>
          </w14:textFill>
        </w:rPr>
        <w:t>dysseborrhea</w:t>
      </w:r>
    </w:p>
    <w:p w14:paraId="01D20CD5">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In acne-prone skin, qualitative and quantitative alterations in sebum composition occur, characterized by reduced linoleic acid levels, increased squalene and lipid peroxides, and an increased ratio of saturated to monounsaturated fatty acids, all of which contribute to follicular </w:t>
      </w:r>
      <w:r>
        <w:rPr>
          <w:rFonts w:asciiTheme="majorBidi" w:hAnsiTheme="majorBidi" w:cstheme="majorBidi"/>
          <w:color w:val="000000" w:themeColor="text1"/>
          <w:kern w:val="2"/>
          <w:sz w:val="24"/>
          <w:szCs w:val="24"/>
          <w14:textFill>
            <w14:solidFill>
              <w14:schemeClr w14:val="tx1"/>
            </w14:solidFill>
          </w14:textFill>
        </w:rPr>
        <w:t>hyperkeratinization</w:t>
      </w:r>
      <w:r>
        <w:rPr>
          <w:rFonts w:asciiTheme="majorBidi" w:hAnsiTheme="majorBidi" w:cstheme="majorBidi"/>
          <w:color w:val="000000" w:themeColor="text1"/>
          <w:kern w:val="2"/>
          <w:sz w:val="24"/>
          <w:szCs w:val="24"/>
          <w14:textFill>
            <w14:solidFill>
              <w14:schemeClr w14:val="tx1"/>
            </w14:solidFill>
          </w14:textFill>
        </w:rPr>
        <w:t xml:space="preserve"> and inflammation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Zouboulis</w:t>
      </w:r>
      <w:r>
        <w:rPr>
          <w:rFonts w:asciiTheme="majorBidi" w:hAnsiTheme="majorBidi" w:cstheme="majorBidi"/>
          <w:b/>
          <w:bCs/>
          <w:color w:val="000000" w:themeColor="text1"/>
          <w:kern w:val="2"/>
          <w:sz w:val="24"/>
          <w:szCs w:val="24"/>
          <w14:textFill>
            <w14:solidFill>
              <w14:schemeClr w14:val="tx1"/>
            </w14:solidFill>
          </w14:textFill>
        </w:rPr>
        <w:t xml:space="preserve"> et al., 2014).</w:t>
      </w:r>
    </w:p>
    <w:p w14:paraId="7F39209B">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Sebaceous gland activity is strongly influenced by hormonal regulation, particularly during puberty, when androgen-mediated stimulation leads to increased sebum production in both sexes. Androgen receptors are expressed in </w:t>
      </w:r>
      <w:r>
        <w:rPr>
          <w:rFonts w:asciiTheme="majorBidi" w:hAnsiTheme="majorBidi" w:cstheme="majorBidi"/>
          <w:color w:val="000000" w:themeColor="text1"/>
          <w:kern w:val="2"/>
          <w:sz w:val="24"/>
          <w:szCs w:val="24"/>
          <w14:textFill>
            <w14:solidFill>
              <w14:schemeClr w14:val="tx1"/>
            </w14:solidFill>
          </w14:textFill>
        </w:rPr>
        <w:t>sebocytes</w:t>
      </w:r>
      <w:r>
        <w:rPr>
          <w:rFonts w:asciiTheme="majorBidi" w:hAnsiTheme="majorBidi" w:cstheme="majorBidi"/>
          <w:color w:val="000000" w:themeColor="text1"/>
          <w:kern w:val="2"/>
          <w:sz w:val="24"/>
          <w:szCs w:val="24"/>
          <w14:textFill>
            <w14:solidFill>
              <w14:schemeClr w14:val="tx1"/>
            </w14:solidFill>
          </w14:textFill>
        </w:rPr>
        <w:t xml:space="preserve"> and hair follicle structures, underscoring the direct hormonal control of sebaceous activity. </w:t>
      </w:r>
      <w:r>
        <w:rPr>
          <w:rFonts w:asciiTheme="majorBidi" w:hAnsiTheme="majorBidi" w:cstheme="majorBidi"/>
          <w:b/>
          <w:bCs/>
          <w:color w:val="000000" w:themeColor="text1"/>
          <w:kern w:val="2"/>
          <w:sz w:val="24"/>
          <w:szCs w:val="24"/>
          <w14:textFill>
            <w14:solidFill>
              <w14:schemeClr w14:val="tx1"/>
            </w14:solidFill>
          </w14:textFill>
        </w:rPr>
        <w:t xml:space="preserve">(George et al., 2008, </w:t>
      </w:r>
      <w:r>
        <w:rPr>
          <w:rFonts w:asciiTheme="majorBidi" w:hAnsiTheme="majorBidi" w:cstheme="majorBidi"/>
          <w:b/>
          <w:bCs/>
          <w:color w:val="000000" w:themeColor="text1"/>
          <w:kern w:val="2"/>
          <w:sz w:val="24"/>
          <w:szCs w:val="24"/>
          <w14:textFill>
            <w14:solidFill>
              <w14:schemeClr w14:val="tx1"/>
            </w14:solidFill>
          </w14:textFill>
        </w:rPr>
        <w:t>Picardo</w:t>
      </w:r>
      <w:r>
        <w:rPr>
          <w:rFonts w:asciiTheme="majorBidi" w:hAnsiTheme="majorBidi" w:cstheme="majorBidi"/>
          <w:b/>
          <w:bCs/>
          <w:color w:val="000000" w:themeColor="text1"/>
          <w:kern w:val="2"/>
          <w:sz w:val="24"/>
          <w:szCs w:val="24"/>
          <w14:textFill>
            <w14:solidFill>
              <w14:schemeClr w14:val="tx1"/>
            </w14:solidFill>
          </w14:textFill>
        </w:rPr>
        <w:t xml:space="preserve"> et al., 2017).</w:t>
      </w:r>
    </w:p>
    <w:p w14:paraId="09459C5A">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 xml:space="preserve">C. Ductal </w:t>
      </w:r>
      <w:r>
        <w:rPr>
          <w:rFonts w:asciiTheme="majorBidi" w:hAnsiTheme="majorBidi" w:cstheme="majorBidi"/>
          <w:b/>
          <w:bCs/>
          <w:color w:val="000000" w:themeColor="text1"/>
          <w:kern w:val="2"/>
          <w:sz w:val="24"/>
          <w:szCs w:val="24"/>
          <w14:textFill>
            <w14:solidFill>
              <w14:schemeClr w14:val="tx1"/>
            </w14:solidFill>
          </w14:textFill>
        </w:rPr>
        <w:t>hypercornification</w:t>
      </w:r>
      <w:r>
        <w:rPr>
          <w:rFonts w:asciiTheme="majorBidi" w:hAnsiTheme="majorBidi" w:cstheme="majorBidi"/>
          <w:b/>
          <w:bCs/>
          <w:color w:val="000000" w:themeColor="text1"/>
          <w:kern w:val="2"/>
          <w:sz w:val="24"/>
          <w:szCs w:val="24"/>
          <w14:textFill>
            <w14:solidFill>
              <w14:schemeClr w14:val="tx1"/>
            </w14:solidFill>
          </w14:textFill>
        </w:rPr>
        <w:t xml:space="preserve"> and </w:t>
      </w:r>
      <w:r>
        <w:rPr>
          <w:rFonts w:asciiTheme="majorBidi" w:hAnsiTheme="majorBidi" w:cstheme="majorBidi"/>
          <w:b/>
          <w:bCs/>
          <w:color w:val="000000" w:themeColor="text1"/>
          <w:kern w:val="2"/>
          <w:sz w:val="24"/>
          <w:szCs w:val="24"/>
          <w14:textFill>
            <w14:solidFill>
              <w14:schemeClr w14:val="tx1"/>
            </w14:solidFill>
          </w14:textFill>
        </w:rPr>
        <w:t>comedogenesis</w:t>
      </w:r>
    </w:p>
    <w:p w14:paraId="7217F7D8">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The hallmark of the first phase of acne is the formation of </w:t>
      </w:r>
      <w:r>
        <w:rPr>
          <w:rFonts w:asciiTheme="majorBidi" w:hAnsiTheme="majorBidi" w:cstheme="majorBidi"/>
          <w:color w:val="000000" w:themeColor="text1"/>
          <w:kern w:val="2"/>
          <w:sz w:val="24"/>
          <w:szCs w:val="24"/>
          <w14:textFill>
            <w14:solidFill>
              <w14:schemeClr w14:val="tx1"/>
            </w14:solidFill>
          </w14:textFill>
        </w:rPr>
        <w:t>microcomedones</w:t>
      </w:r>
      <w:r>
        <w:rPr>
          <w:rFonts w:asciiTheme="majorBidi" w:hAnsiTheme="majorBidi" w:cstheme="majorBidi"/>
          <w:color w:val="000000" w:themeColor="text1"/>
          <w:kern w:val="2"/>
          <w:sz w:val="24"/>
          <w:szCs w:val="24"/>
          <w14:textFill>
            <w14:solidFill>
              <w14:schemeClr w14:val="tx1"/>
            </w14:solidFill>
          </w14:textFill>
        </w:rPr>
        <w:t xml:space="preserve">, which are clinically invisible </w:t>
      </w:r>
      <w:r>
        <w:rPr>
          <w:rFonts w:asciiTheme="majorBidi" w:hAnsiTheme="majorBidi" w:cstheme="majorBidi"/>
          <w:color w:val="000000" w:themeColor="text1"/>
          <w:kern w:val="2"/>
          <w:sz w:val="24"/>
          <w:szCs w:val="24"/>
          <w14:textFill>
            <w14:solidFill>
              <w14:schemeClr w14:val="tx1"/>
            </w14:solidFill>
          </w14:textFill>
        </w:rPr>
        <w:t>retentional</w:t>
      </w:r>
      <w:r>
        <w:rPr>
          <w:rFonts w:asciiTheme="majorBidi" w:hAnsiTheme="majorBidi" w:cstheme="majorBidi"/>
          <w:color w:val="000000" w:themeColor="text1"/>
          <w:kern w:val="2"/>
          <w:sz w:val="24"/>
          <w:szCs w:val="24"/>
          <w14:textFill>
            <w14:solidFill>
              <w14:schemeClr w14:val="tx1"/>
            </w14:solidFill>
          </w14:textFill>
        </w:rPr>
        <w:t xml:space="preserve"> lesions and represent the fundamental precursors of all acne manifestations. </w:t>
      </w:r>
      <w:r>
        <w:rPr>
          <w:rFonts w:asciiTheme="majorBidi" w:hAnsiTheme="majorBidi" w:cstheme="majorBidi"/>
          <w:color w:val="000000" w:themeColor="text1"/>
          <w:kern w:val="2"/>
          <w:sz w:val="24"/>
          <w:szCs w:val="24"/>
          <w14:textFill>
            <w14:solidFill>
              <w14:schemeClr w14:val="tx1"/>
            </w14:solidFill>
          </w14:textFill>
        </w:rPr>
        <w:t>Microcomedones</w:t>
      </w:r>
      <w:r>
        <w:rPr>
          <w:rFonts w:asciiTheme="majorBidi" w:hAnsiTheme="majorBidi" w:cstheme="majorBidi"/>
          <w:color w:val="000000" w:themeColor="text1"/>
          <w:kern w:val="2"/>
          <w:sz w:val="24"/>
          <w:szCs w:val="24"/>
          <w14:textFill>
            <w14:solidFill>
              <w14:schemeClr w14:val="tx1"/>
            </w14:solidFill>
          </w14:textFill>
        </w:rPr>
        <w:t xml:space="preserve"> develop as a result of </w:t>
      </w:r>
      <w:r>
        <w:rPr>
          <w:rFonts w:asciiTheme="majorBidi" w:hAnsiTheme="majorBidi" w:cstheme="majorBidi"/>
          <w:color w:val="000000" w:themeColor="text1"/>
          <w:kern w:val="2"/>
          <w:sz w:val="24"/>
          <w:szCs w:val="24"/>
          <w14:textFill>
            <w14:solidFill>
              <w14:schemeClr w14:val="tx1"/>
            </w14:solidFill>
          </w14:textFill>
        </w:rPr>
        <w:t>pilosebaceous</w:t>
      </w:r>
      <w:r>
        <w:rPr>
          <w:rFonts w:asciiTheme="majorBidi" w:hAnsiTheme="majorBidi" w:cstheme="majorBidi"/>
          <w:color w:val="000000" w:themeColor="text1"/>
          <w:kern w:val="2"/>
          <w:sz w:val="24"/>
          <w:szCs w:val="24"/>
          <w14:textFill>
            <w14:solidFill>
              <w14:schemeClr w14:val="tx1"/>
            </w14:solidFill>
          </w14:textFill>
        </w:rPr>
        <w:t xml:space="preserve"> unit hyperplasia, abnormal </w:t>
      </w:r>
      <w:r>
        <w:rPr>
          <w:rFonts w:asciiTheme="majorBidi" w:hAnsiTheme="majorBidi" w:cstheme="majorBidi"/>
          <w:color w:val="000000" w:themeColor="text1"/>
          <w:kern w:val="2"/>
          <w:sz w:val="24"/>
          <w:szCs w:val="24"/>
          <w14:textFill>
            <w14:solidFill>
              <w14:schemeClr w14:val="tx1"/>
            </w14:solidFill>
          </w14:textFill>
        </w:rPr>
        <w:t>corneocyte</w:t>
      </w:r>
      <w:r>
        <w:rPr>
          <w:rFonts w:asciiTheme="majorBidi" w:hAnsiTheme="majorBidi" w:cstheme="majorBidi"/>
          <w:color w:val="000000" w:themeColor="text1"/>
          <w:kern w:val="2"/>
          <w:sz w:val="24"/>
          <w:szCs w:val="24"/>
          <w14:textFill>
            <w14:solidFill>
              <w14:schemeClr w14:val="tx1"/>
            </w14:solidFill>
          </w14:textFill>
        </w:rPr>
        <w:t xml:space="preserve"> accumulation, and </w:t>
      </w:r>
      <w:r>
        <w:rPr>
          <w:rFonts w:asciiTheme="majorBidi" w:hAnsiTheme="majorBidi" w:cstheme="majorBidi"/>
          <w:color w:val="000000" w:themeColor="text1"/>
          <w:kern w:val="2"/>
          <w:sz w:val="24"/>
          <w:szCs w:val="24"/>
          <w14:textFill>
            <w14:solidFill>
              <w14:schemeClr w14:val="tx1"/>
            </w14:solidFill>
          </w14:textFill>
        </w:rPr>
        <w:t>hyperproliferation</w:t>
      </w:r>
      <w:r>
        <w:rPr>
          <w:rFonts w:asciiTheme="majorBidi" w:hAnsiTheme="majorBidi" w:cstheme="majorBidi"/>
          <w:color w:val="000000" w:themeColor="text1"/>
          <w:kern w:val="2"/>
          <w:sz w:val="24"/>
          <w:szCs w:val="24"/>
          <w14:textFill>
            <w14:solidFill>
              <w14:schemeClr w14:val="tx1"/>
            </w14:solidFill>
          </w14:textFill>
        </w:rPr>
        <w:t xml:space="preserve"> of ductal keratinocytes.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Cunliffe</w:t>
      </w:r>
      <w:r>
        <w:rPr>
          <w:rFonts w:asciiTheme="majorBidi" w:hAnsiTheme="majorBidi" w:cstheme="majorBidi"/>
          <w:b/>
          <w:bCs/>
          <w:color w:val="000000" w:themeColor="text1"/>
          <w:kern w:val="2"/>
          <w:sz w:val="24"/>
          <w:szCs w:val="24"/>
          <w14:textFill>
            <w14:solidFill>
              <w14:schemeClr w14:val="tx1"/>
            </w14:solidFill>
          </w14:textFill>
        </w:rPr>
        <w:t xml:space="preserve"> et al., 2004).</w:t>
      </w:r>
    </w:p>
    <w:p w14:paraId="191BBE39">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Comedonal</w:t>
      </w:r>
      <w:r>
        <w:rPr>
          <w:rFonts w:asciiTheme="majorBidi" w:hAnsiTheme="majorBidi" w:cstheme="majorBidi"/>
          <w:color w:val="000000" w:themeColor="text1"/>
          <w:kern w:val="2"/>
          <w:sz w:val="24"/>
          <w:szCs w:val="24"/>
          <w14:textFill>
            <w14:solidFill>
              <w14:schemeClr w14:val="tx1"/>
            </w14:solidFill>
          </w14:textFill>
        </w:rPr>
        <w:t xml:space="preserve"> lesions harbor a higher microbial burden than inflammatory lesions, suggesting that microbial overgrowth—particularly </w:t>
      </w:r>
      <w:r>
        <w:rPr>
          <w:rFonts w:asciiTheme="majorBidi" w:hAnsiTheme="majorBidi" w:cstheme="majorBidi"/>
          <w:color w:val="000000" w:themeColor="text1"/>
          <w:kern w:val="2"/>
          <w:sz w:val="24"/>
          <w:szCs w:val="24"/>
          <w14:textFill>
            <w14:solidFill>
              <w14:schemeClr w14:val="tx1"/>
            </w14:solidFill>
          </w14:textFill>
        </w:rPr>
        <w:t>Cutibacterium</w:t>
      </w:r>
      <w:r>
        <w:rPr>
          <w:rFonts w:asciiTheme="majorBidi" w:hAnsiTheme="majorBidi" w:cstheme="majorBidi"/>
          <w:color w:val="000000" w:themeColor="text1"/>
          <w:kern w:val="2"/>
          <w:sz w:val="24"/>
          <w:szCs w:val="24"/>
          <w14:textFill>
            <w14:solidFill>
              <w14:schemeClr w14:val="tx1"/>
            </w14:solidFill>
          </w14:textFill>
        </w:rPr>
        <w:t xml:space="preserve"> acnes and lipase-</w:t>
      </w:r>
      <w:r>
        <w:rPr>
          <w:rFonts w:asciiTheme="majorBidi" w:hAnsiTheme="majorBidi" w:cstheme="majorBidi"/>
          <w:color w:val="000000" w:themeColor="text1"/>
          <w:kern w:val="2"/>
          <w:sz w:val="24"/>
          <w:szCs w:val="24"/>
          <w14:textFill>
            <w14:solidFill>
              <w14:schemeClr w14:val="tx1"/>
            </w14:solidFill>
          </w14:textFill>
        </w:rPr>
        <w:t xml:space="preserve">producing </w:t>
      </w:r>
      <w:r>
        <w:rPr>
          <w:rFonts w:asciiTheme="majorBidi" w:hAnsiTheme="majorBidi" w:cstheme="majorBidi"/>
          <w:color w:val="000000" w:themeColor="text1"/>
          <w:kern w:val="2"/>
          <w:sz w:val="24"/>
          <w:szCs w:val="24"/>
          <w14:textFill>
            <w14:solidFill>
              <w14:schemeClr w14:val="tx1"/>
            </w14:solidFill>
          </w14:textFill>
        </w:rPr>
        <w:t>Malassezia</w:t>
      </w:r>
      <w:r>
        <w:rPr>
          <w:rFonts w:asciiTheme="majorBidi" w:hAnsiTheme="majorBidi" w:cstheme="majorBidi"/>
          <w:color w:val="000000" w:themeColor="text1"/>
          <w:kern w:val="2"/>
          <w:sz w:val="24"/>
          <w:szCs w:val="24"/>
          <w14:textFill>
            <w14:solidFill>
              <w14:schemeClr w14:val="tx1"/>
            </w14:solidFill>
          </w14:textFill>
        </w:rPr>
        <w:t xml:space="preserve"> species—contributes to the transition from non-inflammatory to inflammatory acne. </w:t>
      </w:r>
      <w:r>
        <w:rPr>
          <w:rFonts w:asciiTheme="majorBidi" w:hAnsiTheme="majorBidi" w:cstheme="majorBidi"/>
          <w:b/>
          <w:bCs/>
          <w:color w:val="000000" w:themeColor="text1"/>
          <w:kern w:val="2"/>
          <w:sz w:val="24"/>
          <w:szCs w:val="24"/>
          <w14:textFill>
            <w14:solidFill>
              <w14:schemeClr w14:val="tx1"/>
            </w14:solidFill>
          </w14:textFill>
        </w:rPr>
        <w:t>(Xu et al., 2021).</w:t>
      </w:r>
    </w:p>
    <w:p w14:paraId="19E96CE2">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sz w:val="28"/>
          <w:szCs w:val="28"/>
        </w:rPr>
        <w:drawing>
          <wp:inline distT="0" distB="0" distL="0" distR="0">
            <wp:extent cx="1910080" cy="1282065"/>
            <wp:effectExtent l="0" t="0" r="0" b="0"/>
            <wp:docPr id="1075816290" name="Picture 6" descr="الوصف: الوصف: الوصف: الوصف: الوصف: الوصف: الوصف: الوصف: C:\Users\prof\Desktop\2019\9-Review of acne vulgaris\amira protocol\ddg_06274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6290" name="Picture 6" descr="الوصف: الوصف: الوصف: الوصف: الوصف: الوصف: الوصف: الوصف: C:\Users\prof\Desktop\2019\9-Review of acne vulgaris\amira protocol\ddg_06274_f5.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22556" cy="1290778"/>
                    </a:xfrm>
                    <a:prstGeom prst="rect">
                      <a:avLst/>
                    </a:prstGeom>
                    <a:noFill/>
                    <a:ln>
                      <a:noFill/>
                    </a:ln>
                  </pic:spPr>
                </pic:pic>
              </a:graphicData>
            </a:graphic>
          </wp:inline>
        </w:drawing>
      </w:r>
    </w:p>
    <w:p w14:paraId="6B0C0EFF">
      <w:pPr>
        <w:spacing w:line="240" w:lineRule="auto"/>
        <w:ind w:firstLine="0"/>
        <w:jc w:val="both"/>
        <w:rPr>
          <w:rFonts w:asciiTheme="majorBidi" w:hAnsiTheme="majorBidi" w:cstheme="majorBidi"/>
          <w:color w:val="000000" w:themeColor="text1"/>
          <w:kern w:val="2"/>
          <w14:textFill>
            <w14:solidFill>
              <w14:schemeClr w14:val="tx1"/>
            </w14:solidFill>
          </w14:textFill>
        </w:rPr>
      </w:pPr>
      <w:r>
        <w:rPr>
          <w:rFonts w:eastAsia="SimSun" w:asciiTheme="majorBidi" w:hAnsiTheme="majorBidi" w:cstheme="majorBidi"/>
          <w:iCs/>
          <w:lang w:bidi="he-IL"/>
        </w:rPr>
        <w:t>Figure (1): (A) Normal sebaceous follicle (B) Comedo.</w:t>
      </w:r>
    </w:p>
    <w:p w14:paraId="5152FCC9">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p>
    <w:p w14:paraId="3A4290D6">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D. Role of inflammation and Th17</w:t>
      </w:r>
    </w:p>
    <w:p w14:paraId="6BB7A0B6">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The immunologic observations are now best explained by activation of the Th17 axis, which has emerged as a central component of acne pathogenesis. It is increasingly accepted that inflammation precedes visible lesion formation and represents an initiating event in acne development. C. acnes activates the Th17 pathway through multiple target cells, including keratinocytes, fibroblasts, monocytes, and </w:t>
      </w:r>
      <w:r>
        <w:rPr>
          <w:rFonts w:asciiTheme="majorBidi" w:hAnsiTheme="majorBidi" w:cstheme="majorBidi"/>
          <w:color w:val="000000" w:themeColor="text1"/>
          <w:kern w:val="2"/>
          <w:sz w:val="24"/>
          <w:szCs w:val="24"/>
          <w14:textFill>
            <w14:solidFill>
              <w14:schemeClr w14:val="tx1"/>
            </w14:solidFill>
          </w14:textFill>
        </w:rPr>
        <w:t>sebocytes</w:t>
      </w:r>
      <w:r>
        <w:rPr>
          <w:rFonts w:asciiTheme="majorBidi" w:hAnsiTheme="majorBidi" w:cstheme="majorBidi"/>
          <w:color w:val="000000" w:themeColor="text1"/>
          <w:kern w:val="2"/>
          <w:sz w:val="24"/>
          <w:szCs w:val="24"/>
          <w14:textFill>
            <w14:solidFill>
              <w14:schemeClr w14:val="tx1"/>
            </w14:solidFill>
          </w14:textFill>
        </w:rPr>
        <w:t xml:space="preserve">, all of which produce pro-inflammatory mediators in response to bacterial stimulation. Notably, the pathogenic </w:t>
      </w:r>
      <w:r>
        <w:rPr>
          <w:rFonts w:asciiTheme="majorBidi" w:hAnsiTheme="majorBidi" w:cstheme="majorBidi"/>
          <w:color w:val="000000" w:themeColor="text1"/>
          <w:kern w:val="2"/>
          <w:sz w:val="24"/>
          <w:szCs w:val="24"/>
          <w14:textFill>
            <w14:solidFill>
              <w14:schemeClr w14:val="tx1"/>
            </w14:solidFill>
          </w14:textFill>
        </w:rPr>
        <w:t>phylotype</w:t>
      </w:r>
      <w:r>
        <w:rPr>
          <w:rFonts w:asciiTheme="majorBidi" w:hAnsiTheme="majorBidi" w:cstheme="majorBidi"/>
          <w:color w:val="000000" w:themeColor="text1"/>
          <w:kern w:val="2"/>
          <w:sz w:val="24"/>
          <w:szCs w:val="24"/>
          <w14:textFill>
            <w14:solidFill>
              <w14:schemeClr w14:val="tx1"/>
            </w14:solidFill>
          </w14:textFill>
        </w:rPr>
        <w:t xml:space="preserve"> IA1, through biofilm formation and secretion of virulence factors, strongly promotes IL-17 production by Th17 lymphocytes in acne patients </w:t>
      </w:r>
      <w:r>
        <w:rPr>
          <w:rFonts w:asciiTheme="majorBidi" w:hAnsiTheme="majorBidi" w:cstheme="majorBidi"/>
          <w:b/>
          <w:bCs/>
          <w:color w:val="000000" w:themeColor="text1"/>
          <w:kern w:val="2"/>
          <w:sz w:val="24"/>
          <w:szCs w:val="24"/>
          <w14:textFill>
            <w14:solidFill>
              <w14:schemeClr w14:val="tx1"/>
            </w14:solidFill>
          </w14:textFill>
        </w:rPr>
        <w:t>(Huang et al., 2015).</w:t>
      </w:r>
      <w:r>
        <w:rPr>
          <w:rFonts w:asciiTheme="majorBidi" w:hAnsiTheme="majorBidi" w:cstheme="majorBidi"/>
          <w:color w:val="000000" w:themeColor="text1"/>
          <w:kern w:val="2"/>
          <w:sz w:val="24"/>
          <w:szCs w:val="24"/>
          <w14:textFill>
            <w14:solidFill>
              <w14:schemeClr w14:val="tx1"/>
            </w14:solidFill>
          </w14:textFill>
        </w:rPr>
        <w:t xml:space="preserve">  Th17-mediated immunity is crucial for the progression of AV due to the presence of IL-17A-positive T cells and increased Th17-related cytokines inside acne lesions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Sardana</w:t>
      </w:r>
      <w:r>
        <w:rPr>
          <w:rFonts w:asciiTheme="majorBidi" w:hAnsiTheme="majorBidi" w:cstheme="majorBidi"/>
          <w:b/>
          <w:bCs/>
          <w:color w:val="000000" w:themeColor="text1"/>
          <w:kern w:val="2"/>
          <w:sz w:val="24"/>
          <w:szCs w:val="24"/>
          <w14:textFill>
            <w14:solidFill>
              <w14:schemeClr w14:val="tx1"/>
            </w14:solidFill>
          </w14:textFill>
        </w:rPr>
        <w:t xml:space="preserve"> &amp; </w:t>
      </w:r>
      <w:r>
        <w:rPr>
          <w:rFonts w:asciiTheme="majorBidi" w:hAnsiTheme="majorBidi" w:cstheme="majorBidi"/>
          <w:b/>
          <w:bCs/>
          <w:color w:val="000000" w:themeColor="text1"/>
          <w:kern w:val="2"/>
          <w:sz w:val="24"/>
          <w:szCs w:val="24"/>
          <w14:textFill>
            <w14:solidFill>
              <w14:schemeClr w14:val="tx1"/>
            </w14:solidFill>
          </w14:textFill>
        </w:rPr>
        <w:t>Verma</w:t>
      </w:r>
      <w:r>
        <w:rPr>
          <w:rFonts w:asciiTheme="majorBidi" w:hAnsiTheme="majorBidi" w:cstheme="majorBidi"/>
          <w:b/>
          <w:bCs/>
          <w:color w:val="000000" w:themeColor="text1"/>
          <w:kern w:val="2"/>
          <w:sz w:val="24"/>
          <w:szCs w:val="24"/>
          <w14:textFill>
            <w14:solidFill>
              <w14:schemeClr w14:val="tx1"/>
            </w14:solidFill>
          </w14:textFill>
        </w:rPr>
        <w:t>, 2017).</w:t>
      </w:r>
    </w:p>
    <w:p w14:paraId="7B561F62">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Clinical picture</w:t>
      </w:r>
    </w:p>
    <w:p w14:paraId="528524E4">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A. Symptoms</w:t>
      </w:r>
    </w:p>
    <w:p w14:paraId="24A65367">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Acne Vulgaris local symptoms may encompass pain, tenderness, and/or erythema </w:t>
      </w:r>
      <w:r>
        <w:rPr>
          <w:rFonts w:asciiTheme="majorBidi" w:hAnsiTheme="majorBidi" w:cstheme="majorBidi"/>
          <w:b/>
          <w:bCs/>
          <w:color w:val="000000" w:themeColor="text1"/>
          <w:kern w:val="2"/>
          <w:sz w:val="24"/>
          <w:szCs w:val="24"/>
          <w14:textFill>
            <w14:solidFill>
              <w14:schemeClr w14:val="tx1"/>
            </w14:solidFill>
          </w14:textFill>
        </w:rPr>
        <w:t>(Vary, 2015).</w:t>
      </w:r>
      <w:r>
        <w:rPr>
          <w:rFonts w:asciiTheme="majorBidi" w:hAnsiTheme="majorBidi" w:cstheme="majorBidi"/>
          <w:color w:val="000000" w:themeColor="text1"/>
          <w:kern w:val="2"/>
          <w:sz w:val="24"/>
          <w:szCs w:val="24"/>
          <w14:textFill>
            <w14:solidFill>
              <w14:schemeClr w14:val="tx1"/>
            </w14:solidFill>
          </w14:textFill>
        </w:rPr>
        <w:t xml:space="preserve">  </w:t>
      </w:r>
    </w:p>
    <w:p w14:paraId="77DB0C46">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B. Physical Examination</w:t>
      </w:r>
    </w:p>
    <w:p w14:paraId="217AEEC2">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AV is clinically characterized by the presence of </w:t>
      </w:r>
      <w:r>
        <w:rPr>
          <w:rFonts w:asciiTheme="majorBidi" w:hAnsiTheme="majorBidi" w:cstheme="majorBidi"/>
          <w:color w:val="000000" w:themeColor="text1"/>
          <w:kern w:val="2"/>
          <w:sz w:val="24"/>
          <w:szCs w:val="24"/>
          <w14:textFill>
            <w14:solidFill>
              <w14:schemeClr w14:val="tx1"/>
            </w14:solidFill>
          </w14:textFill>
        </w:rPr>
        <w:t>comedones</w:t>
      </w:r>
      <w:r>
        <w:rPr>
          <w:rFonts w:asciiTheme="majorBidi" w:hAnsiTheme="majorBidi" w:cstheme="majorBidi"/>
          <w:color w:val="000000" w:themeColor="text1"/>
          <w:kern w:val="2"/>
          <w:sz w:val="24"/>
          <w:szCs w:val="24"/>
          <w14:textFill>
            <w14:solidFill>
              <w14:schemeClr w14:val="tx1"/>
            </w14:solidFill>
          </w14:textFill>
        </w:rPr>
        <w:t xml:space="preserve">, papules, pustules, and nodules distributed over </w:t>
      </w:r>
      <w:r>
        <w:rPr>
          <w:rFonts w:asciiTheme="majorBidi" w:hAnsiTheme="majorBidi" w:cstheme="majorBidi"/>
          <w:color w:val="000000" w:themeColor="text1"/>
          <w:kern w:val="2"/>
          <w:sz w:val="24"/>
          <w:szCs w:val="24"/>
          <w14:textFill>
            <w14:solidFill>
              <w14:schemeClr w14:val="tx1"/>
            </w14:solidFill>
          </w14:textFill>
        </w:rPr>
        <w:t xml:space="preserve">sebaceous-rich areas, most commonly the face, upper chest, back, and less frequently, the upper arms.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Katsambas</w:t>
      </w:r>
      <w:r>
        <w:rPr>
          <w:rFonts w:asciiTheme="majorBidi" w:hAnsiTheme="majorBidi" w:cstheme="majorBidi"/>
          <w:b/>
          <w:bCs/>
          <w:color w:val="000000" w:themeColor="text1"/>
          <w:kern w:val="2"/>
          <w:sz w:val="24"/>
          <w:szCs w:val="24"/>
          <w14:textFill>
            <w14:solidFill>
              <w14:schemeClr w14:val="tx1"/>
            </w14:solidFill>
          </w14:textFill>
        </w:rPr>
        <w:t xml:space="preserve"> et al., 2014).</w:t>
      </w:r>
    </w:p>
    <w:p w14:paraId="4D91EFAE">
      <w:pPr>
        <w:spacing w:line="240" w:lineRule="auto"/>
        <w:ind w:firstLine="0"/>
        <w:jc w:val="both"/>
        <w:rPr>
          <w:rFonts w:asciiTheme="majorBidi" w:hAnsiTheme="majorBidi" w:cstheme="majorBidi"/>
          <w:color w:val="000000" w:themeColor="text1"/>
          <w:kern w:val="2"/>
          <w:sz w:val="24"/>
          <w:szCs w:val="24"/>
          <w:lang w:bidi="ar-EG"/>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 </w:t>
      </w:r>
    </w:p>
    <w:p w14:paraId="3CC9C2CA">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sz w:val="28"/>
          <w:szCs w:val="28"/>
        </w:rPr>
        <w:drawing>
          <wp:inline distT="0" distB="0" distL="0" distR="0">
            <wp:extent cx="1158240" cy="940435"/>
            <wp:effectExtent l="0" t="0" r="3810" b="0"/>
            <wp:docPr id="3" name="Picture 30" descr="الوصف: Identifying and Treating Closed Comed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descr="الوصف: Identifying and Treating Closed Comedo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58240" cy="940435"/>
                    </a:xfrm>
                    <a:prstGeom prst="rect">
                      <a:avLst/>
                    </a:prstGeom>
                    <a:noFill/>
                    <a:ln>
                      <a:noFill/>
                    </a:ln>
                  </pic:spPr>
                </pic:pic>
              </a:graphicData>
            </a:graphic>
          </wp:inline>
        </w:drawing>
      </w:r>
      <w:r>
        <w:rPr>
          <w:rFonts w:asciiTheme="majorBidi" w:hAnsiTheme="majorBidi" w:cstheme="majorBidi"/>
          <w:sz w:val="28"/>
          <w:szCs w:val="28"/>
        </w:rPr>
        <w:drawing>
          <wp:inline distT="0" distB="0" distL="0" distR="0">
            <wp:extent cx="1168400" cy="94107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68400" cy="941070"/>
                    </a:xfrm>
                    <a:prstGeom prst="rect">
                      <a:avLst/>
                    </a:prstGeom>
                    <a:noFill/>
                    <a:ln>
                      <a:noFill/>
                    </a:ln>
                  </pic:spPr>
                </pic:pic>
              </a:graphicData>
            </a:graphic>
          </wp:inline>
        </w:drawing>
      </w:r>
    </w:p>
    <w:p w14:paraId="0E4E4CEF">
      <w:pPr>
        <w:spacing w:line="240" w:lineRule="auto"/>
        <w:ind w:firstLine="0"/>
        <w:jc w:val="both"/>
        <w:rPr>
          <w:rFonts w:asciiTheme="majorBidi" w:hAnsiTheme="majorBidi" w:cstheme="majorBidi"/>
        </w:rPr>
      </w:pPr>
      <w:r>
        <w:rPr>
          <w:rFonts w:asciiTheme="majorBidi" w:hAnsiTheme="majorBidi" w:cstheme="majorBidi"/>
          <w:sz w:val="24"/>
          <w:szCs w:val="24"/>
        </w:rPr>
        <w:drawing>
          <wp:inline distT="0" distB="0" distL="0" distR="0">
            <wp:extent cx="1168400" cy="1036320"/>
            <wp:effectExtent l="0" t="0" r="0" b="0"/>
            <wp:docPr id="5" name="Picture 32" descr="الوصف: Q179.-nodulocystic-acne – Ace Achie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2" descr="الوصف: Q179.-nodulocystic-acne – Ace Achiev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68400" cy="1036320"/>
                    </a:xfrm>
                    <a:prstGeom prst="rect">
                      <a:avLst/>
                    </a:prstGeom>
                    <a:noFill/>
                    <a:ln>
                      <a:noFill/>
                    </a:ln>
                  </pic:spPr>
                </pic:pic>
              </a:graphicData>
            </a:graphic>
          </wp:inline>
        </w:drawing>
      </w:r>
      <w:r>
        <w:rPr>
          <w:rFonts w:asciiTheme="majorBidi" w:hAnsiTheme="majorBidi" w:cstheme="majorBidi"/>
          <w:sz w:val="24"/>
          <w:szCs w:val="24"/>
        </w:rPr>
        <w:drawing>
          <wp:inline distT="0" distB="0" distL="0" distR="0">
            <wp:extent cx="1168400" cy="1036320"/>
            <wp:effectExtent l="0" t="0" r="0" b="0"/>
            <wp:docPr id="4" name="Picture 31" descr="الوصف: Acne Vulgaris – oneSki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1" descr="الوصف: Acne Vulgaris – oneSkin.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68400" cy="1036320"/>
                    </a:xfrm>
                    <a:prstGeom prst="rect">
                      <a:avLst/>
                    </a:prstGeom>
                    <a:noFill/>
                    <a:ln>
                      <a:noFill/>
                    </a:ln>
                  </pic:spPr>
                </pic:pic>
              </a:graphicData>
            </a:graphic>
          </wp:inline>
        </w:drawing>
      </w:r>
      <w:r>
        <w:rPr>
          <w:rFonts w:asciiTheme="majorBidi" w:hAnsiTheme="majorBidi" w:cstheme="majorBidi"/>
        </w:rPr>
        <w:t>Figure (2): Symptoms of Acne; multiple open comedones, closed comedones, and papulopustules, plus cysts.</w:t>
      </w:r>
    </w:p>
    <w:p w14:paraId="7AA87ACC">
      <w:pPr>
        <w:pStyle w:val="37"/>
        <w:shd w:val="clear" w:color="auto" w:fill="FFFFFF"/>
        <w:spacing w:line="240" w:lineRule="auto"/>
        <w:ind w:left="0" w:firstLine="0"/>
        <w:contextualSpacing w:val="0"/>
        <w:jc w:val="both"/>
        <w:rPr>
          <w:rFonts w:asciiTheme="majorBidi" w:hAnsiTheme="majorBidi" w:cstheme="majorBidi"/>
          <w:sz w:val="20"/>
          <w:szCs w:val="20"/>
        </w:rPr>
      </w:pPr>
      <w:r>
        <w:rPr>
          <w:rFonts w:asciiTheme="majorBidi" w:hAnsiTheme="majorBidi" w:cstheme="majorBidi"/>
          <w:sz w:val="20"/>
          <w:szCs w:val="20"/>
        </w:rPr>
        <w:t>.</w:t>
      </w:r>
    </w:p>
    <w:p w14:paraId="2B1249A7">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 xml:space="preserve">Clinical variants of acne </w:t>
      </w:r>
    </w:p>
    <w:p w14:paraId="62F31385">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A. Neonatal acne</w:t>
      </w:r>
    </w:p>
    <w:p w14:paraId="699E2AD2">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eastAsia="Times New Roman" w:asciiTheme="majorBidi" w:hAnsiTheme="majorBidi" w:cstheme="majorBidi"/>
          <w:sz w:val="24"/>
          <w:szCs w:val="24"/>
          <w14:ligatures w14:val="none"/>
        </w:rPr>
        <w:t xml:space="preserve">Various tiny papules and pustules that are pinkish-red in color and inflammatory lesions are the most common clinical manifestations. The only areas that are affected by the lesions are the cheekbones, jawline, eyelids, and forehead. </w:t>
      </w:r>
      <w:r>
        <w:rPr>
          <w:rFonts w:eastAsia="Times New Roman" w:asciiTheme="majorBidi" w:hAnsiTheme="majorBidi" w:cstheme="majorBidi"/>
          <w:b/>
          <w:bCs/>
          <w:sz w:val="24"/>
          <w:szCs w:val="24"/>
          <w14:ligatures w14:val="none"/>
        </w:rPr>
        <w:t>(</w:t>
      </w:r>
      <w:r>
        <w:rPr>
          <w:rFonts w:asciiTheme="majorBidi" w:hAnsiTheme="majorBidi" w:cstheme="majorBidi"/>
          <w:b/>
          <w:bCs/>
          <w:color w:val="000000" w:themeColor="text1"/>
          <w:kern w:val="2"/>
          <w:sz w:val="24"/>
          <w:szCs w:val="24"/>
          <w14:textFill>
            <w14:solidFill>
              <w14:schemeClr w14:val="tx1"/>
            </w14:solidFill>
          </w14:textFill>
        </w:rPr>
        <w:t>Laureano</w:t>
      </w:r>
      <w:r>
        <w:rPr>
          <w:rFonts w:asciiTheme="majorBidi" w:hAnsiTheme="majorBidi" w:cstheme="majorBidi"/>
          <w:b/>
          <w:bCs/>
          <w:color w:val="000000" w:themeColor="text1"/>
          <w:kern w:val="2"/>
          <w:sz w:val="24"/>
          <w:szCs w:val="24"/>
          <w14:textFill>
            <w14:solidFill>
              <w14:schemeClr w14:val="tx1"/>
            </w14:solidFill>
          </w14:textFill>
        </w:rPr>
        <w:t xml:space="preserve"> et al., 2014</w:t>
      </w:r>
      <w:r>
        <w:rPr>
          <w:rFonts w:eastAsia="Times New Roman" w:asciiTheme="majorBidi" w:hAnsiTheme="majorBidi" w:cstheme="majorBidi"/>
          <w:b/>
          <w:bCs/>
          <w:sz w:val="24"/>
          <w:szCs w:val="24"/>
          <w14:ligatures w14:val="none"/>
        </w:rPr>
        <w:t>)</w:t>
      </w:r>
      <w:r>
        <w:rPr>
          <w:rFonts w:asciiTheme="majorBidi" w:hAnsiTheme="majorBidi" w:cstheme="majorBidi"/>
          <w:b/>
          <w:bCs/>
          <w:color w:val="000000" w:themeColor="text1"/>
          <w:kern w:val="2"/>
          <w:sz w:val="24"/>
          <w:szCs w:val="24"/>
          <w14:textFill>
            <w14:solidFill>
              <w14:schemeClr w14:val="tx1"/>
            </w14:solidFill>
          </w14:textFill>
        </w:rPr>
        <w:t>.</w:t>
      </w:r>
    </w:p>
    <w:p w14:paraId="17524520">
      <w:pPr>
        <w:spacing w:line="240" w:lineRule="auto"/>
        <w:ind w:firstLine="0"/>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sz w:val="28"/>
          <w:szCs w:val="28"/>
        </w:rPr>
        <w:drawing>
          <wp:inline distT="0" distB="0" distL="0" distR="0">
            <wp:extent cx="1645920" cy="1659890"/>
            <wp:effectExtent l="0" t="0" r="0" b="0"/>
            <wp:docPr id="6" name="image6.png" descr="الوصف: الوصف: الوصف: الوصف: الوصف: الوصف: الوصف: الوصف: Image result for Neonatal acne consisting of small pinkish-red inflamed papules and pustules mostly confined to the cheeks, eyelids, and for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descr="الوصف: الوصف: الوصف: الوصف: الوصف: الوصف: الوصف: الوصف: Image result for Neonatal acne consisting of small pinkish-red inflamed papules and pustules mostly confined to the cheeks, eyelids, and forehe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653703" cy="1667857"/>
                    </a:xfrm>
                    <a:prstGeom prst="rect">
                      <a:avLst/>
                    </a:prstGeom>
                    <a:noFill/>
                    <a:ln>
                      <a:noFill/>
                    </a:ln>
                  </pic:spPr>
                </pic:pic>
              </a:graphicData>
            </a:graphic>
          </wp:inline>
        </w:drawing>
      </w:r>
    </w:p>
    <w:p w14:paraId="4BF3AD18">
      <w:pPr>
        <w:spacing w:line="240" w:lineRule="auto"/>
        <w:ind w:firstLine="0"/>
        <w:jc w:val="both"/>
        <w:rPr>
          <w:rFonts w:asciiTheme="majorBidi" w:hAnsiTheme="majorBidi" w:cstheme="majorBidi"/>
          <w:bCs/>
          <w:color w:val="000000" w:themeColor="text1"/>
          <w:kern w:val="2"/>
          <w14:textFill>
            <w14:solidFill>
              <w14:schemeClr w14:val="tx1"/>
            </w14:solidFill>
          </w14:textFill>
        </w:rPr>
      </w:pPr>
      <w:r>
        <w:rPr>
          <w:rFonts w:asciiTheme="majorBidi" w:hAnsiTheme="majorBidi" w:cstheme="majorBidi"/>
          <w:bCs/>
        </w:rPr>
        <w:t xml:space="preserve">Figure (3): </w:t>
      </w:r>
      <w:r>
        <w:rPr>
          <w:rFonts w:asciiTheme="majorBidi" w:hAnsiTheme="majorBidi" w:cstheme="majorBidi"/>
          <w:bCs/>
          <w:shd w:val="clear" w:color="auto" w:fill="FBFBFB"/>
        </w:rPr>
        <w:t>Neonatal acne consisting of small pinkish-red inflamed papules and pustules mostly confined to the cheeks, eyelids, and forehead</w:t>
      </w:r>
      <w:r>
        <w:rPr>
          <w:rFonts w:asciiTheme="majorBidi" w:hAnsiTheme="majorBidi" w:cstheme="majorBidi"/>
          <w:bCs/>
          <w:i/>
          <w:iCs/>
        </w:rPr>
        <w:t>.</w:t>
      </w:r>
    </w:p>
    <w:p w14:paraId="06EF340D">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B. Infantile Acne</w:t>
      </w:r>
    </w:p>
    <w:p w14:paraId="4E82BC3F">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Clinically, infantile acne presents with hallmark acneiform features, including both closed and open </w:t>
      </w:r>
      <w:r>
        <w:rPr>
          <w:rFonts w:asciiTheme="majorBidi" w:hAnsiTheme="majorBidi" w:cstheme="majorBidi"/>
          <w:color w:val="000000" w:themeColor="text1"/>
          <w:kern w:val="2"/>
          <w:sz w:val="24"/>
          <w:szCs w:val="24"/>
          <w14:textFill>
            <w14:solidFill>
              <w14:schemeClr w14:val="tx1"/>
            </w14:solidFill>
          </w14:textFill>
        </w:rPr>
        <w:t>comedones</w:t>
      </w:r>
      <w:r>
        <w:rPr>
          <w:rFonts w:asciiTheme="majorBidi" w:hAnsiTheme="majorBidi" w:cstheme="majorBidi"/>
          <w:color w:val="000000" w:themeColor="text1"/>
          <w:kern w:val="2"/>
          <w:sz w:val="24"/>
          <w:szCs w:val="24"/>
          <w14:textFill>
            <w14:solidFill>
              <w14:schemeClr w14:val="tx1"/>
            </w14:solidFill>
          </w14:textFill>
        </w:rPr>
        <w:t xml:space="preserve">, inflammatory papules, and small pustules </w:t>
      </w:r>
      <w:r>
        <w:rPr>
          <w:rFonts w:asciiTheme="majorBidi" w:hAnsiTheme="majorBidi" w:cstheme="majorBidi"/>
          <w:b/>
          <w:bCs/>
          <w:color w:val="000000" w:themeColor="text1"/>
          <w:kern w:val="2"/>
          <w:sz w:val="24"/>
          <w:szCs w:val="24"/>
          <w14:textFill>
            <w14:solidFill>
              <w14:schemeClr w14:val="tx1"/>
            </w14:solidFill>
          </w14:textFill>
        </w:rPr>
        <w:t xml:space="preserve">(Kim &amp; Mancini, 2013). </w:t>
      </w:r>
      <w:r>
        <w:rPr>
          <w:rFonts w:asciiTheme="majorBidi" w:hAnsiTheme="majorBidi" w:cstheme="majorBidi"/>
          <w:color w:val="000000" w:themeColor="text1"/>
          <w:kern w:val="2"/>
          <w:sz w:val="24"/>
          <w:szCs w:val="24"/>
          <w14:textFill>
            <w14:solidFill>
              <w14:schemeClr w14:val="tx1"/>
            </w14:solidFill>
          </w14:textFill>
        </w:rPr>
        <w:t xml:space="preserve">Unlike neonatal acne, infantile acne </w:t>
      </w:r>
      <w:r>
        <w:rPr>
          <w:rFonts w:asciiTheme="majorBidi" w:hAnsiTheme="majorBidi" w:cstheme="majorBidi"/>
          <w:color w:val="000000" w:themeColor="text1"/>
          <w:kern w:val="2"/>
          <w:sz w:val="24"/>
          <w:szCs w:val="24"/>
          <w14:textFill>
            <w14:solidFill>
              <w14:schemeClr w14:val="tx1"/>
            </w14:solidFill>
          </w14:textFill>
        </w:rPr>
        <w:t xml:space="preserve">poses a considerable risk of persistent sequelae, with small, nodular lesions observed in up to 50% of affected infants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Samycia</w:t>
      </w:r>
      <w:r>
        <w:rPr>
          <w:rFonts w:asciiTheme="majorBidi" w:hAnsiTheme="majorBidi" w:cstheme="majorBidi"/>
          <w:b/>
          <w:bCs/>
          <w:color w:val="000000" w:themeColor="text1"/>
          <w:kern w:val="2"/>
          <w:sz w:val="24"/>
          <w:szCs w:val="24"/>
          <w14:textFill>
            <w14:solidFill>
              <w14:schemeClr w14:val="tx1"/>
            </w14:solidFill>
          </w14:textFill>
        </w:rPr>
        <w:t xml:space="preserve"> &amp; Lam, 2016).</w:t>
      </w:r>
    </w:p>
    <w:p w14:paraId="1A9120A8">
      <w:pPr>
        <w:spacing w:line="240" w:lineRule="auto"/>
        <w:ind w:firstLine="0"/>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sz w:val="28"/>
          <w:szCs w:val="28"/>
        </w:rPr>
        <w:drawing>
          <wp:inline distT="0" distB="0" distL="0" distR="0">
            <wp:extent cx="1971040" cy="1391920"/>
            <wp:effectExtent l="0" t="0" r="0" b="0"/>
            <wp:docPr id="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74679" cy="1394856"/>
                    </a:xfrm>
                    <a:prstGeom prst="rect">
                      <a:avLst/>
                    </a:prstGeom>
                    <a:noFill/>
                    <a:ln>
                      <a:noFill/>
                    </a:ln>
                  </pic:spPr>
                </pic:pic>
              </a:graphicData>
            </a:graphic>
          </wp:inline>
        </w:drawing>
      </w:r>
    </w:p>
    <w:p w14:paraId="215D50D6">
      <w:pPr>
        <w:spacing w:line="240" w:lineRule="auto"/>
        <w:ind w:firstLine="0"/>
        <w:jc w:val="both"/>
        <w:rPr>
          <w:rFonts w:asciiTheme="majorBidi" w:hAnsiTheme="majorBidi" w:cstheme="majorBidi"/>
          <w:bCs/>
        </w:rPr>
      </w:pPr>
      <w:r>
        <w:rPr>
          <w:rFonts w:asciiTheme="majorBidi" w:hAnsiTheme="majorBidi" w:cstheme="majorBidi"/>
          <w:bCs/>
          <w:shd w:val="clear" w:color="auto" w:fill="FBFBFB"/>
        </w:rPr>
        <w:t xml:space="preserve">Figure (4): Infantile acne consisting mostly of open </w:t>
      </w:r>
      <w:r>
        <w:rPr>
          <w:rFonts w:asciiTheme="majorBidi" w:hAnsiTheme="majorBidi" w:cstheme="majorBidi"/>
          <w:bCs/>
          <w:shd w:val="clear" w:color="auto" w:fill="FBFBFB"/>
        </w:rPr>
        <w:t>comedones</w:t>
      </w:r>
      <w:r>
        <w:rPr>
          <w:rFonts w:asciiTheme="majorBidi" w:hAnsiTheme="majorBidi" w:cstheme="majorBidi"/>
          <w:bCs/>
          <w:shd w:val="clear" w:color="auto" w:fill="FBFBFB"/>
        </w:rPr>
        <w:t xml:space="preserve"> and papules scattered over the cheeks</w:t>
      </w:r>
      <w:r>
        <w:rPr>
          <w:rFonts w:asciiTheme="majorBidi" w:hAnsiTheme="majorBidi" w:cstheme="majorBidi"/>
          <w:bCs/>
          <w:i/>
        </w:rPr>
        <w:t>.</w:t>
      </w:r>
    </w:p>
    <w:p w14:paraId="08D8EF9E">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C. Adult Acne</w:t>
      </w:r>
    </w:p>
    <w:p w14:paraId="74C731F9">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Adult acne may manifest as a persistent inflammatory form extending beyond 25 years of age, characterized by deep-seated, tender </w:t>
      </w:r>
      <w:r>
        <w:rPr>
          <w:rFonts w:asciiTheme="majorBidi" w:hAnsiTheme="majorBidi" w:cstheme="majorBidi"/>
          <w:color w:val="000000" w:themeColor="text1"/>
          <w:kern w:val="2"/>
          <w:sz w:val="24"/>
          <w:szCs w:val="24"/>
          <w14:textFill>
            <w14:solidFill>
              <w14:schemeClr w14:val="tx1"/>
            </w14:solidFill>
          </w14:textFill>
        </w:rPr>
        <w:t>papulonodules</w:t>
      </w:r>
      <w:r>
        <w:rPr>
          <w:rFonts w:asciiTheme="majorBidi" w:hAnsiTheme="majorBidi" w:cstheme="majorBidi"/>
          <w:color w:val="000000" w:themeColor="text1"/>
          <w:kern w:val="2"/>
          <w:sz w:val="24"/>
          <w:szCs w:val="24"/>
          <w14:textFill>
            <w14:solidFill>
              <w14:schemeClr w14:val="tx1"/>
            </w14:solidFill>
          </w14:textFill>
        </w:rPr>
        <w:t xml:space="preserve"> involving lower 1/3 of the face, jawline, and neck, with premenstrual exacerbations and favorable responses to hormonal therapy. Alternatively, a predominantly </w:t>
      </w:r>
      <w:r>
        <w:rPr>
          <w:rFonts w:asciiTheme="majorBidi" w:hAnsiTheme="majorBidi" w:cstheme="majorBidi"/>
          <w:color w:val="000000" w:themeColor="text1"/>
          <w:kern w:val="2"/>
          <w:sz w:val="24"/>
          <w:szCs w:val="24"/>
          <w14:textFill>
            <w14:solidFill>
              <w14:schemeClr w14:val="tx1"/>
            </w14:solidFill>
          </w14:textFill>
        </w:rPr>
        <w:t>comedonal</w:t>
      </w:r>
      <w:r>
        <w:rPr>
          <w:rFonts w:asciiTheme="majorBidi" w:hAnsiTheme="majorBidi" w:cstheme="majorBidi"/>
          <w:color w:val="000000" w:themeColor="text1"/>
          <w:kern w:val="2"/>
          <w:sz w:val="24"/>
          <w:szCs w:val="24"/>
          <w14:textFill>
            <w14:solidFill>
              <w14:schemeClr w14:val="tx1"/>
            </w14:solidFill>
          </w14:textFill>
        </w:rPr>
        <w:t xml:space="preserve"> pattern may be observed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Gieler</w:t>
      </w:r>
      <w:r>
        <w:rPr>
          <w:rFonts w:asciiTheme="majorBidi" w:hAnsiTheme="majorBidi" w:cstheme="majorBidi"/>
          <w:b/>
          <w:bCs/>
          <w:color w:val="000000" w:themeColor="text1"/>
          <w:kern w:val="2"/>
          <w:sz w:val="24"/>
          <w:szCs w:val="24"/>
          <w14:textFill>
            <w14:solidFill>
              <w14:schemeClr w14:val="tx1"/>
            </w14:solidFill>
          </w14:textFill>
        </w:rPr>
        <w:t xml:space="preserve"> et al., 2015). </w:t>
      </w:r>
    </w:p>
    <w:p w14:paraId="049667CC">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2. Retinoic acid receptor-related orphan receptor alpha</w:t>
      </w:r>
    </w:p>
    <w:p w14:paraId="6097B2E0">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The retinoic acid-related orphan nuclear receptors</w:t>
      </w:r>
    </w:p>
    <w:p w14:paraId="1B4AA998">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The retinoic acid–related orphan nuclear receptors [RORs] are members of the nuclear receptor superfamily of ligand-regulated transcription factors that modulate gene expression by binding to specific DNA sequences known as ROR response elements [ROREs]. </w:t>
      </w:r>
      <w:r>
        <w:rPr>
          <w:rFonts w:asciiTheme="majorBidi" w:hAnsiTheme="majorBidi" w:cstheme="majorBidi"/>
          <w:b/>
          <w:bCs/>
          <w:color w:val="000000" w:themeColor="text1"/>
          <w:kern w:val="2"/>
          <w:sz w:val="24"/>
          <w:szCs w:val="24"/>
          <w14:textFill>
            <w14:solidFill>
              <w14:schemeClr w14:val="tx1"/>
            </w14:solidFill>
          </w14:textFill>
        </w:rPr>
        <w:t>(Capone &amp; Volpe, 2020).</w:t>
      </w:r>
    </w:p>
    <w:p w14:paraId="0F2CA44B">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Ligand binding induces conformational changes within the receptor that facilitate recruitment of transcriptional co-regulators, thereby activating or repressing the transcription of target genes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Benna</w:t>
      </w:r>
      <w:r>
        <w:rPr>
          <w:rFonts w:asciiTheme="majorBidi" w:hAnsiTheme="majorBidi" w:cstheme="majorBidi"/>
          <w:b/>
          <w:bCs/>
          <w:color w:val="000000" w:themeColor="text1"/>
          <w:kern w:val="2"/>
          <w:sz w:val="24"/>
          <w:szCs w:val="24"/>
          <w14:textFill>
            <w14:solidFill>
              <w14:schemeClr w14:val="tx1"/>
            </w14:solidFill>
          </w14:textFill>
        </w:rPr>
        <w:t xml:space="preserve"> et al., 2021).</w:t>
      </w:r>
      <w:r>
        <w:rPr>
          <w:rFonts w:asciiTheme="majorBidi" w:hAnsiTheme="majorBidi" w:cstheme="majorBidi"/>
          <w:color w:val="000000" w:themeColor="text1"/>
          <w:kern w:val="2"/>
          <w:sz w:val="24"/>
          <w:szCs w:val="24"/>
          <w14:textFill>
            <w14:solidFill>
              <w14:schemeClr w14:val="tx1"/>
            </w14:solidFill>
          </w14:textFill>
        </w:rPr>
        <w:t xml:space="preserve"> The ROR family consists of three members: RORα [NR1F1], RORβ [NR1F2], and </w:t>
      </w:r>
      <w:r>
        <w:rPr>
          <w:rFonts w:asciiTheme="majorBidi" w:hAnsiTheme="majorBidi" w:cstheme="majorBidi"/>
          <w:color w:val="000000" w:themeColor="text1"/>
          <w:kern w:val="2"/>
          <w:sz w:val="24"/>
          <w:szCs w:val="24"/>
          <w14:textFill>
            <w14:solidFill>
              <w14:schemeClr w14:val="tx1"/>
            </w14:solidFill>
          </w14:textFill>
        </w:rPr>
        <w:t>RORγ</w:t>
      </w:r>
      <w:r>
        <w:rPr>
          <w:rFonts w:asciiTheme="majorBidi" w:hAnsiTheme="majorBidi" w:cstheme="majorBidi"/>
          <w:color w:val="000000" w:themeColor="text1"/>
          <w:kern w:val="2"/>
          <w:sz w:val="24"/>
          <w:szCs w:val="24"/>
          <w14:textFill>
            <w14:solidFill>
              <w14:schemeClr w14:val="tx1"/>
            </w14:solidFill>
          </w14:textFill>
        </w:rPr>
        <w:t xml:space="preserve"> [NR1F3], encoded by RORA, RORB, and RORC genes. </w:t>
      </w:r>
      <w:r>
        <w:rPr>
          <w:rFonts w:asciiTheme="majorBidi" w:hAnsiTheme="majorBidi" w:cstheme="majorBidi"/>
          <w:b/>
          <w:bCs/>
          <w:color w:val="000000" w:themeColor="text1"/>
          <w:kern w:val="2"/>
          <w:sz w:val="24"/>
          <w:szCs w:val="24"/>
          <w14:textFill>
            <w14:solidFill>
              <w14:schemeClr w14:val="tx1"/>
            </w14:solidFill>
          </w14:textFill>
        </w:rPr>
        <w:t>(Ma et al., 2021).</w:t>
      </w:r>
    </w:p>
    <w:p w14:paraId="22C8FE58">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Function of RORA in T helper 17 development</w:t>
      </w:r>
    </w:p>
    <w:p w14:paraId="72F13F6A">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ROR</w:t>
      </w:r>
      <w:r>
        <w:rPr>
          <w:rFonts w:asciiTheme="majorBidi" w:hAnsiTheme="majorBidi" w:cstheme="majorBidi"/>
          <w:color w:val="000000"/>
          <w:sz w:val="24"/>
          <w:szCs w:val="24"/>
        </w:rPr>
        <w:t>α</w:t>
      </w:r>
      <w:r>
        <w:rPr>
          <w:rFonts w:asciiTheme="majorBidi" w:hAnsiTheme="majorBidi" w:cstheme="majorBidi"/>
          <w:color w:val="000000" w:themeColor="text1"/>
          <w:kern w:val="2"/>
          <w:sz w:val="24"/>
          <w:szCs w:val="24"/>
          <w14:textFill>
            <w14:solidFill>
              <w14:schemeClr w14:val="tx1"/>
            </w14:solidFill>
          </w14:textFill>
        </w:rPr>
        <w:t xml:space="preserve"> is upregulated during Th17 differentiation and contributes significantly to Th17 effector function. RORA can directly promote IL-17 expression and acts synergistically with </w:t>
      </w:r>
      <w:r>
        <w:rPr>
          <w:rFonts w:asciiTheme="majorBidi" w:hAnsiTheme="majorBidi" w:cstheme="majorBidi"/>
          <w:color w:val="000000" w:themeColor="text1"/>
          <w:kern w:val="2"/>
          <w:sz w:val="24"/>
          <w:szCs w:val="24"/>
          <w14:textFill>
            <w14:solidFill>
              <w14:schemeClr w14:val="tx1"/>
            </w14:solidFill>
          </w14:textFill>
        </w:rPr>
        <w:t>RORγt</w:t>
      </w:r>
      <w:r>
        <w:rPr>
          <w:rFonts w:asciiTheme="majorBidi" w:hAnsiTheme="majorBidi" w:cstheme="majorBidi"/>
          <w:color w:val="000000" w:themeColor="text1"/>
          <w:kern w:val="2"/>
          <w:sz w:val="24"/>
          <w:szCs w:val="24"/>
          <w14:textFill>
            <w14:solidFill>
              <w14:schemeClr w14:val="tx1"/>
            </w14:solidFill>
          </w14:textFill>
        </w:rPr>
        <w:t xml:space="preserve"> to enhance Th17-associated cytokine production, suggesting that coordinated activity of both transcription factors is required for optimal Th17 lineage stability and function </w:t>
      </w:r>
      <w:r>
        <w:rPr>
          <w:rFonts w:asciiTheme="majorBidi" w:hAnsiTheme="majorBidi" w:cstheme="majorBidi"/>
          <w:b/>
          <w:bCs/>
          <w:color w:val="000000" w:themeColor="text1"/>
          <w:kern w:val="2"/>
          <w:sz w:val="24"/>
          <w:szCs w:val="24"/>
          <w14:textFill>
            <w14:solidFill>
              <w14:schemeClr w14:val="tx1"/>
            </w14:solidFill>
          </w14:textFill>
        </w:rPr>
        <w:t>(Jiang et al., 2023, Simone et al., 2021).</w:t>
      </w:r>
    </w:p>
    <w:p w14:paraId="1CEF2325">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Functional investigations demonstrate that inhibition of RORA suppresses pathogenic Th17 responses while promoting </w:t>
      </w:r>
      <w:r>
        <w:rPr>
          <w:rFonts w:asciiTheme="majorBidi" w:hAnsiTheme="majorBidi" w:cstheme="majorBidi"/>
          <w:color w:val="000000" w:themeColor="text1"/>
          <w:kern w:val="2"/>
          <w:sz w:val="24"/>
          <w:szCs w:val="24"/>
          <w14:textFill>
            <w14:solidFill>
              <w14:schemeClr w14:val="tx1"/>
            </w14:solidFill>
          </w14:textFill>
        </w:rPr>
        <w:t>immunoregulatory</w:t>
      </w:r>
      <w:r>
        <w:rPr>
          <w:rFonts w:asciiTheme="majorBidi" w:hAnsiTheme="majorBidi" w:cstheme="majorBidi"/>
          <w:color w:val="000000" w:themeColor="text1"/>
          <w:kern w:val="2"/>
          <w:sz w:val="24"/>
          <w:szCs w:val="24"/>
          <w14:textFill>
            <w14:solidFill>
              <w14:schemeClr w14:val="tx1"/>
            </w14:solidFill>
          </w14:textFill>
        </w:rPr>
        <w:t xml:space="preserve"> effects, identifying RORA as a non-redundant regulator of Th17-mediated inflammation and a potential therapeutic target in chronic inflammatory diseases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Schinocca</w:t>
      </w:r>
      <w:r>
        <w:rPr>
          <w:rFonts w:asciiTheme="majorBidi" w:hAnsiTheme="majorBidi" w:cstheme="majorBidi"/>
          <w:b/>
          <w:bCs/>
          <w:color w:val="000000" w:themeColor="text1"/>
          <w:kern w:val="2"/>
          <w:sz w:val="24"/>
          <w:szCs w:val="24"/>
          <w14:textFill>
            <w14:solidFill>
              <w14:schemeClr w14:val="tx1"/>
            </w14:solidFill>
          </w14:textFill>
        </w:rPr>
        <w:t xml:space="preserve"> et al., 2021, Wang et al., 2021).</w:t>
      </w:r>
    </w:p>
    <w:p w14:paraId="73F92DB5">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Genetic Polymorphism</w:t>
      </w:r>
    </w:p>
    <w:p w14:paraId="25A6AF94">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Polymorphisms in the RORA gene are involved in a range of inflammatory, autoimmune, and neuropsychiatric conditions, including bipolar disorder, multiple sclerosis, asthma, breast cancer, and autism spectrum disorders, underscoring its function as a pleiotropic </w:t>
      </w:r>
      <w:r>
        <w:rPr>
          <w:rFonts w:asciiTheme="majorBidi" w:hAnsiTheme="majorBidi" w:cstheme="majorBidi"/>
          <w:color w:val="000000" w:themeColor="text1"/>
          <w:kern w:val="2"/>
          <w:sz w:val="24"/>
          <w:szCs w:val="24"/>
          <w14:textFill>
            <w14:solidFill>
              <w14:schemeClr w14:val="tx1"/>
            </w14:solidFill>
          </w14:textFill>
        </w:rPr>
        <w:t>immunoregulatory</w:t>
      </w:r>
      <w:r>
        <w:rPr>
          <w:rFonts w:asciiTheme="majorBidi" w:hAnsiTheme="majorBidi" w:cstheme="majorBidi"/>
          <w:color w:val="000000" w:themeColor="text1"/>
          <w:kern w:val="2"/>
          <w:sz w:val="24"/>
          <w:szCs w:val="24"/>
          <w14:textFill>
            <w14:solidFill>
              <w14:schemeClr w14:val="tx1"/>
            </w14:solidFill>
          </w14:textFill>
        </w:rPr>
        <w:t xml:space="preserve"> gene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Jetten</w:t>
      </w:r>
      <w:r>
        <w:rPr>
          <w:rFonts w:asciiTheme="majorBidi" w:hAnsiTheme="majorBidi" w:cstheme="majorBidi"/>
          <w:b/>
          <w:bCs/>
          <w:color w:val="000000" w:themeColor="text1"/>
          <w:kern w:val="2"/>
          <w:sz w:val="24"/>
          <w:szCs w:val="24"/>
          <w14:textFill>
            <w14:solidFill>
              <w14:schemeClr w14:val="tx1"/>
            </w14:solidFill>
          </w14:textFill>
        </w:rPr>
        <w:t xml:space="preserve"> et al., 2021).</w:t>
      </w:r>
      <w:r>
        <w:rPr>
          <w:rFonts w:asciiTheme="majorBidi" w:hAnsiTheme="majorBidi" w:cstheme="majorBidi"/>
          <w:color w:val="000000" w:themeColor="text1"/>
          <w:kern w:val="2"/>
          <w:sz w:val="24"/>
          <w:szCs w:val="24"/>
          <w14:textFill>
            <w14:solidFill>
              <w14:schemeClr w14:val="tx1"/>
            </w14:solidFill>
          </w14:textFill>
        </w:rPr>
        <w:t xml:space="preserve"> In dermatology, RORA gene polymorphisms have been specifically associated with psoriasis, where the rs11639084 - variant linked to pathogenic Th17 responses l and rs4774388 - associated with oxidative stress pathways - were found to be significantly more prevalent among affected patients </w:t>
      </w:r>
      <w:r>
        <w:rPr>
          <w:rFonts w:asciiTheme="majorBidi" w:hAnsiTheme="majorBidi" w:cstheme="majorBidi"/>
          <w:b/>
          <w:bCs/>
          <w:color w:val="000000" w:themeColor="text1"/>
          <w:kern w:val="2"/>
          <w:sz w:val="24"/>
          <w:szCs w:val="24"/>
          <w14:textFill>
            <w14:solidFill>
              <w14:schemeClr w14:val="tx1"/>
            </w14:solidFill>
          </w14:textFill>
        </w:rPr>
        <w:t>(</w:t>
      </w:r>
      <w:r>
        <w:rPr>
          <w:rFonts w:asciiTheme="majorBidi" w:hAnsiTheme="majorBidi" w:cstheme="majorBidi"/>
          <w:b/>
          <w:bCs/>
          <w:color w:val="000000" w:themeColor="text1"/>
          <w:kern w:val="2"/>
          <w:sz w:val="24"/>
          <w:szCs w:val="24"/>
          <w14:textFill>
            <w14:solidFill>
              <w14:schemeClr w14:val="tx1"/>
            </w14:solidFill>
          </w14:textFill>
        </w:rPr>
        <w:t>Mikhael</w:t>
      </w:r>
      <w:r>
        <w:rPr>
          <w:rFonts w:asciiTheme="majorBidi" w:hAnsiTheme="majorBidi" w:cstheme="majorBidi"/>
          <w:b/>
          <w:bCs/>
          <w:color w:val="000000" w:themeColor="text1"/>
          <w:kern w:val="2"/>
          <w:sz w:val="24"/>
          <w:szCs w:val="24"/>
          <w14:textFill>
            <w14:solidFill>
              <w14:schemeClr w14:val="tx1"/>
            </w14:solidFill>
          </w14:textFill>
        </w:rPr>
        <w:t xml:space="preserve"> et al., 2025).</w:t>
      </w:r>
      <w:r>
        <w:rPr>
          <w:rFonts w:asciiTheme="majorBidi" w:hAnsiTheme="majorBidi" w:cstheme="majorBidi"/>
          <w:color w:val="000000" w:themeColor="text1"/>
          <w:kern w:val="2"/>
          <w:sz w:val="24"/>
          <w:szCs w:val="24"/>
          <w14:textFill>
            <w14:solidFill>
              <w14:schemeClr w14:val="tx1"/>
            </w14:solidFill>
          </w14:textFill>
        </w:rPr>
        <w:t xml:space="preserve"> </w:t>
      </w:r>
    </w:p>
    <w:p w14:paraId="4DFA3B25">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Methods</w:t>
      </w:r>
    </w:p>
    <w:p w14:paraId="5E962954">
      <w:pPr>
        <w:pStyle w:val="14"/>
        <w:spacing w:before="0" w:beforeAutospacing="0" w:after="0" w:afterAutospacing="0"/>
        <w:jc w:val="both"/>
        <w:rPr>
          <w:rStyle w:val="18"/>
          <w:rFonts w:asciiTheme="majorBidi" w:hAnsiTheme="majorBidi" w:eastAsiaTheme="majorEastAsia" w:cstheme="majorBidi"/>
          <w:color w:val="000000"/>
        </w:rPr>
      </w:pPr>
      <w:r>
        <w:rPr>
          <w:rFonts w:asciiTheme="majorBidi" w:hAnsiTheme="majorBidi" w:cstheme="majorBidi"/>
          <w:color w:val="000000"/>
        </w:rPr>
        <w:t xml:space="preserve">This review combined a comprehensive evaluation of existing literature with institutional experience from </w:t>
      </w:r>
      <w:r>
        <w:rPr>
          <w:rFonts w:asciiTheme="majorBidi" w:hAnsiTheme="majorBidi" w:cstheme="majorBidi"/>
          <w:color w:val="000000"/>
        </w:rPr>
        <w:t>Benha</w:t>
      </w:r>
      <w:r>
        <w:rPr>
          <w:rFonts w:asciiTheme="majorBidi" w:hAnsiTheme="majorBidi" w:cstheme="majorBidi"/>
          <w:color w:val="000000"/>
        </w:rPr>
        <w:t xml:space="preserve"> University Hospitals. For the literature review, electronic databases including</w:t>
      </w:r>
      <w:r>
        <w:rPr>
          <w:rStyle w:val="46"/>
          <w:rFonts w:eastAsia="SimSun" w:asciiTheme="majorBidi" w:hAnsiTheme="majorBidi" w:cstheme="majorBidi"/>
          <w:color w:val="000000"/>
        </w:rPr>
        <w:t> </w:t>
      </w:r>
      <w:r>
        <w:rPr>
          <w:rStyle w:val="21"/>
          <w:rFonts w:eastAsia="SimSun" w:asciiTheme="majorBidi" w:hAnsiTheme="majorBidi" w:cstheme="majorBidi"/>
        </w:rPr>
        <w:t>Scopus</w:t>
      </w:r>
      <w:r>
        <w:rPr>
          <w:rFonts w:asciiTheme="majorBidi" w:hAnsiTheme="majorBidi" w:cstheme="majorBidi"/>
          <w:color w:val="000000"/>
        </w:rPr>
        <w:t xml:space="preserve">, </w:t>
      </w:r>
      <w:r>
        <w:rPr>
          <w:rStyle w:val="21"/>
          <w:rFonts w:eastAsia="SimSun" w:asciiTheme="majorBidi" w:hAnsiTheme="majorBidi" w:cstheme="majorBidi"/>
        </w:rPr>
        <w:t>PubMed</w:t>
      </w:r>
      <w:r>
        <w:rPr>
          <w:rFonts w:asciiTheme="majorBidi" w:hAnsiTheme="majorBidi" w:cstheme="majorBidi"/>
          <w:color w:val="000000"/>
        </w:rPr>
        <w:t>,</w:t>
      </w:r>
      <w:r>
        <w:rPr>
          <w:rStyle w:val="46"/>
          <w:rFonts w:eastAsia="SimSun" w:asciiTheme="majorBidi" w:hAnsiTheme="majorBidi" w:cstheme="majorBidi"/>
          <w:color w:val="000000"/>
        </w:rPr>
        <w:t> </w:t>
      </w:r>
      <w:r>
        <w:rPr>
          <w:rFonts w:asciiTheme="majorBidi" w:hAnsiTheme="majorBidi" w:cstheme="majorBidi"/>
          <w:color w:val="000000"/>
        </w:rPr>
        <w:t>and</w:t>
      </w:r>
      <w:r>
        <w:rPr>
          <w:rStyle w:val="46"/>
          <w:rFonts w:eastAsia="SimSun" w:asciiTheme="majorBidi" w:hAnsiTheme="majorBidi" w:cstheme="majorBidi"/>
          <w:color w:val="000000"/>
        </w:rPr>
        <w:t> </w:t>
      </w:r>
      <w:r>
        <w:rPr>
          <w:rStyle w:val="21"/>
          <w:rFonts w:eastAsia="SimSun" w:asciiTheme="majorBidi" w:hAnsiTheme="majorBidi" w:cstheme="majorBidi"/>
        </w:rPr>
        <w:t xml:space="preserve">Google Scholar </w:t>
      </w:r>
      <w:r>
        <w:rPr>
          <w:rFonts w:asciiTheme="majorBidi" w:hAnsiTheme="majorBidi" w:cstheme="majorBidi"/>
          <w:color w:val="000000"/>
        </w:rPr>
        <w:t>were searched for publications</w:t>
      </w:r>
      <w:r>
        <w:rPr>
          <w:rStyle w:val="46"/>
          <w:rFonts w:eastAsia="SimSun" w:asciiTheme="majorBidi" w:hAnsiTheme="majorBidi" w:cstheme="majorBidi"/>
          <w:color w:val="000000"/>
        </w:rPr>
        <w:t> </w:t>
      </w:r>
      <w:r>
        <w:rPr>
          <w:rFonts w:asciiTheme="majorBidi" w:hAnsiTheme="majorBidi" w:cstheme="majorBidi"/>
          <w:color w:val="000000"/>
        </w:rPr>
        <w:t>using terms like</w:t>
      </w:r>
      <w:r>
        <w:rPr>
          <w:rStyle w:val="46"/>
          <w:rFonts w:eastAsia="SimSun" w:asciiTheme="majorBidi" w:hAnsiTheme="majorBidi" w:cstheme="majorBidi"/>
          <w:color w:val="000000"/>
        </w:rPr>
        <w:t> </w:t>
      </w:r>
      <w:r>
        <w:rPr>
          <w:rStyle w:val="18"/>
          <w:rFonts w:asciiTheme="majorBidi" w:hAnsiTheme="majorBidi" w:eastAsiaTheme="majorEastAsia" w:cstheme="majorBidi"/>
          <w:color w:val="000000"/>
        </w:rPr>
        <w:t>"Retinoid Acid-Related Orphan Receptor Alpha", "Acne vulgaris"</w:t>
      </w:r>
      <w:r>
        <w:rPr>
          <w:rStyle w:val="46"/>
          <w:rFonts w:eastAsia="SimSun" w:asciiTheme="majorBidi" w:hAnsiTheme="majorBidi" w:cstheme="majorBidi"/>
          <w:color w:val="000000"/>
        </w:rPr>
        <w:t> </w:t>
      </w:r>
      <w:r>
        <w:rPr>
          <w:rFonts w:asciiTheme="majorBidi" w:hAnsiTheme="majorBidi" w:cstheme="majorBidi"/>
          <w:color w:val="000000"/>
        </w:rPr>
        <w:t>and</w:t>
      </w:r>
      <w:r>
        <w:rPr>
          <w:rStyle w:val="46"/>
          <w:rFonts w:eastAsia="SimSun" w:asciiTheme="majorBidi" w:hAnsiTheme="majorBidi" w:cstheme="majorBidi"/>
          <w:color w:val="000000"/>
        </w:rPr>
        <w:t> </w:t>
      </w:r>
      <w:r>
        <w:rPr>
          <w:rStyle w:val="18"/>
          <w:rFonts w:asciiTheme="majorBidi" w:hAnsiTheme="majorBidi" w:eastAsiaTheme="majorEastAsia" w:cstheme="majorBidi"/>
          <w:color w:val="000000"/>
        </w:rPr>
        <w:t xml:space="preserve">"Gene polymorphism." </w:t>
      </w:r>
    </w:p>
    <w:p w14:paraId="6886AE17">
      <w:pPr>
        <w:pStyle w:val="14"/>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 xml:space="preserve">The review included clinical studies, observational reports, meta-analyses, and expert consensus statements, all focused on RORα serum level and gene polymorphism in </w:t>
      </w:r>
      <w:r>
        <w:rPr>
          <w:rFonts w:asciiTheme="majorBidi" w:hAnsiTheme="majorBidi" w:cstheme="majorBidi"/>
          <w:color w:val="000000" w:themeColor="text1"/>
          <w:kern w:val="2"/>
          <w14:textFill>
            <w14:solidFill>
              <w14:schemeClr w14:val="tx1"/>
            </w14:solidFill>
          </w14:textFill>
        </w:rPr>
        <w:t>AV</w:t>
      </w:r>
      <w:r>
        <w:rPr>
          <w:rFonts w:asciiTheme="majorBidi" w:hAnsiTheme="majorBidi" w:cstheme="majorBidi"/>
          <w:color w:val="000000"/>
        </w:rPr>
        <w:t xml:space="preserve"> patients. Only English-language full-text articles were included.</w:t>
      </w:r>
    </w:p>
    <w:p w14:paraId="1585666A">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 xml:space="preserve">Discussion </w:t>
      </w:r>
    </w:p>
    <w:p w14:paraId="1398C7B2">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The current article exhibited a significant association between </w:t>
      </w:r>
      <w:r>
        <w:rPr>
          <w:rFonts w:asciiTheme="majorBidi" w:hAnsiTheme="majorBidi" w:cstheme="majorBidi"/>
          <w:i/>
          <w:iCs/>
          <w:color w:val="000000" w:themeColor="text1"/>
          <w:kern w:val="2"/>
          <w:sz w:val="24"/>
          <w:szCs w:val="24"/>
          <w14:textFill>
            <w14:solidFill>
              <w14:schemeClr w14:val="tx1"/>
            </w14:solidFill>
          </w14:textFill>
        </w:rPr>
        <w:t>RORA</w:t>
      </w:r>
      <w:r>
        <w:rPr>
          <w:rFonts w:asciiTheme="majorBidi" w:hAnsiTheme="majorBidi" w:cstheme="majorBidi"/>
          <w:color w:val="000000" w:themeColor="text1"/>
          <w:kern w:val="2"/>
          <w:sz w:val="24"/>
          <w:szCs w:val="24"/>
          <w14:textFill>
            <w14:solidFill>
              <w14:schemeClr w14:val="tx1"/>
            </w14:solidFill>
          </w14:textFill>
        </w:rPr>
        <w:t xml:space="preserve"> gene polymorphisms and AV, confirming a potential function for RORA in acne pathogenesis. The polymorphic genotypes of rs11639084 [TC+CC] and rs4774388 [CT+TT] were significantly more prevalent among acne patients compared with controls and were associated with markedly increased disease risk. These observations exhibit that genetic variation within the </w:t>
      </w:r>
      <w:r>
        <w:rPr>
          <w:rFonts w:asciiTheme="majorBidi" w:hAnsiTheme="majorBidi" w:cstheme="majorBidi"/>
          <w:i/>
          <w:iCs/>
          <w:color w:val="000000" w:themeColor="text1"/>
          <w:kern w:val="2"/>
          <w:sz w:val="24"/>
          <w:szCs w:val="24"/>
          <w14:textFill>
            <w14:solidFill>
              <w14:schemeClr w14:val="tx1"/>
            </w14:solidFill>
          </w14:textFill>
        </w:rPr>
        <w:t>RORA</w:t>
      </w:r>
      <w:r>
        <w:rPr>
          <w:rFonts w:asciiTheme="majorBidi" w:hAnsiTheme="majorBidi" w:cstheme="majorBidi"/>
          <w:color w:val="000000" w:themeColor="text1"/>
          <w:kern w:val="2"/>
          <w:sz w:val="24"/>
          <w:szCs w:val="24"/>
          <w14:textFill>
            <w14:solidFill>
              <w14:schemeClr w14:val="tx1"/>
            </w14:solidFill>
          </w14:textFill>
        </w:rPr>
        <w:t xml:space="preserve"> gene may confer susceptibility to AV, Table 1.</w:t>
      </w:r>
    </w:p>
    <w:p w14:paraId="0392A208">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In addition to genetic associations, Serum RORA protein levels were markedly increased in patients with acne compared to healthy controls and demonstrated a strong correlation with disease severity. Higher RORA levels were observed in moderate and severe acne compared with mild disease. </w:t>
      </w:r>
    </w:p>
    <w:p w14:paraId="059C82E9">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Moreover, carriers of the polymorphic genotypes exhibited significantly higher serum RORA levels than individuals with wild-type genotypes, indicating a functional impact of these polymorphisms on RORA expression. This genotype–phenotype relationship supports a biological link between </w:t>
      </w:r>
      <w:r>
        <w:rPr>
          <w:rFonts w:asciiTheme="majorBidi" w:hAnsiTheme="majorBidi" w:cstheme="majorBidi"/>
          <w:i/>
          <w:iCs/>
          <w:color w:val="000000" w:themeColor="text1"/>
          <w:kern w:val="2"/>
          <w:sz w:val="24"/>
          <w:szCs w:val="24"/>
          <w14:textFill>
            <w14:solidFill>
              <w14:schemeClr w14:val="tx1"/>
            </w14:solidFill>
          </w14:textFill>
        </w:rPr>
        <w:t>RORA</w:t>
      </w:r>
      <w:r>
        <w:rPr>
          <w:rFonts w:asciiTheme="majorBidi" w:hAnsiTheme="majorBidi" w:cstheme="majorBidi"/>
          <w:color w:val="000000" w:themeColor="text1"/>
          <w:kern w:val="2"/>
          <w:sz w:val="24"/>
          <w:szCs w:val="24"/>
          <w14:textFill>
            <w14:solidFill>
              <w14:schemeClr w14:val="tx1"/>
            </w14:solidFill>
          </w14:textFill>
        </w:rPr>
        <w:t xml:space="preserve"> genetic variation and acne severity.</w:t>
      </w:r>
    </w:p>
    <w:p w14:paraId="38D70CE6">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The observed association between RORA expression and acne severity may be explained by the established function of RORA in regulating Th17 cell differentiation and IL-17–mediated </w:t>
      </w:r>
      <w:r>
        <w:rPr>
          <w:rFonts w:asciiTheme="majorBidi" w:hAnsiTheme="majorBidi" w:cstheme="majorBidi"/>
          <w:color w:val="000000" w:themeColor="text1"/>
          <w:kern w:val="2"/>
          <w:sz w:val="24"/>
          <w:szCs w:val="24"/>
          <w14:textFill>
            <w14:solidFill>
              <w14:schemeClr w14:val="tx1"/>
            </w14:solidFill>
          </w14:textFill>
        </w:rPr>
        <w:t xml:space="preserve">inflammatory responses. Given the growing evidence implicating Th17-driven inflammation in acne, increased RORA activity may contribute to sustained cutaneous inflammation, lesion progression, and subsequent scaring. </w:t>
      </w:r>
    </w:p>
    <w:p w14:paraId="73649AFB">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Interestingly, acne patients with metabolic syndrome demonstrated significantly higher serum RORA levels and a greater prevalence of polymorphic </w:t>
      </w:r>
      <w:r>
        <w:rPr>
          <w:rFonts w:asciiTheme="majorBidi" w:hAnsiTheme="majorBidi" w:cstheme="majorBidi"/>
          <w:i/>
          <w:iCs/>
          <w:color w:val="000000" w:themeColor="text1"/>
          <w:kern w:val="2"/>
          <w:sz w:val="24"/>
          <w:szCs w:val="24"/>
          <w14:textFill>
            <w14:solidFill>
              <w14:schemeClr w14:val="tx1"/>
            </w14:solidFill>
          </w14:textFill>
        </w:rPr>
        <w:t>RORA</w:t>
      </w:r>
      <w:r>
        <w:rPr>
          <w:rFonts w:asciiTheme="majorBidi" w:hAnsiTheme="majorBidi" w:cstheme="majorBidi"/>
          <w:color w:val="000000" w:themeColor="text1"/>
          <w:kern w:val="2"/>
          <w:sz w:val="24"/>
          <w:szCs w:val="24"/>
          <w14:textFill>
            <w14:solidFill>
              <w14:schemeClr w14:val="tx1"/>
            </w14:solidFill>
          </w14:textFill>
        </w:rPr>
        <w:t xml:space="preserve"> genotypes. This observation aligns with previous reports linking RORA to lipid metabolism, inflammation, and metabolic dysregulation, and suggests that RORA may represent a shared molecular pathway connecting acne severity and metabolic abnormalities. Similarly, the higher prevalence of polymorphic genotypes among </w:t>
      </w:r>
      <w:r>
        <w:rPr>
          <w:rFonts w:asciiTheme="majorBidi" w:hAnsiTheme="majorBidi" w:cstheme="majorBidi"/>
          <w:color w:val="000000" w:themeColor="text1"/>
          <w:kern w:val="2"/>
          <w:sz w:val="24"/>
          <w:szCs w:val="24"/>
          <w14:textFill>
            <w14:solidFill>
              <w14:schemeClr w14:val="tx1"/>
            </w14:solidFill>
          </w14:textFill>
        </w:rPr>
        <w:t>smokers may reflect the interaction between oxidative stress, inflammation, and RORA-regulated immune pathways.</w:t>
      </w:r>
    </w:p>
    <w:p w14:paraId="701CF61D">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Collectively, these findings indicate that </w:t>
      </w:r>
      <w:r>
        <w:rPr>
          <w:rFonts w:asciiTheme="majorBidi" w:hAnsiTheme="majorBidi" w:cstheme="majorBidi"/>
          <w:i/>
          <w:iCs/>
          <w:color w:val="000000" w:themeColor="text1"/>
          <w:kern w:val="2"/>
          <w:sz w:val="24"/>
          <w:szCs w:val="24"/>
          <w14:textFill>
            <w14:solidFill>
              <w14:schemeClr w14:val="tx1"/>
            </w14:solidFill>
          </w14:textFill>
        </w:rPr>
        <w:t>RORA</w:t>
      </w:r>
      <w:r>
        <w:rPr>
          <w:rFonts w:asciiTheme="majorBidi" w:hAnsiTheme="majorBidi" w:cstheme="majorBidi"/>
          <w:color w:val="000000" w:themeColor="text1"/>
          <w:kern w:val="2"/>
          <w:sz w:val="24"/>
          <w:szCs w:val="24"/>
          <w14:textFill>
            <w14:solidFill>
              <w14:schemeClr w14:val="tx1"/>
            </w14:solidFill>
          </w14:textFill>
        </w:rPr>
        <w:t xml:space="preserve"> polymorphisms and increased serum RORA protein levels are associated with acne susceptibility, disease severity, scarring, and metabolic comorbidity. Given the central function of RORA and its interaction with </w:t>
      </w:r>
      <w:r>
        <w:rPr>
          <w:rFonts w:asciiTheme="majorBidi" w:hAnsiTheme="majorBidi" w:cstheme="majorBidi"/>
          <w:color w:val="000000" w:themeColor="text1"/>
          <w:kern w:val="2"/>
          <w:sz w:val="24"/>
          <w:szCs w:val="24"/>
          <w14:textFill>
            <w14:solidFill>
              <w14:schemeClr w14:val="tx1"/>
            </w14:solidFill>
          </w14:textFill>
        </w:rPr>
        <w:t>RORγt</w:t>
      </w:r>
      <w:r>
        <w:rPr>
          <w:rFonts w:asciiTheme="majorBidi" w:hAnsiTheme="majorBidi" w:cstheme="majorBidi"/>
          <w:color w:val="000000" w:themeColor="text1"/>
          <w:kern w:val="2"/>
          <w:sz w:val="24"/>
          <w:szCs w:val="24"/>
          <w14:textFill>
            <w14:solidFill>
              <w14:schemeClr w14:val="tx1"/>
            </w14:solidFill>
          </w14:textFill>
        </w:rPr>
        <w:t xml:space="preserve"> in Th17-mediated inflammation, targeting this pathway may represent a promising therapeutic strategy for AV. However, further longitudinal and mechanistic investigations are necessary to clarify causality and to assess the promise of RORA as a biomarker or therapeutic target in acne management.</w:t>
      </w:r>
    </w:p>
    <w:p w14:paraId="403626AF">
      <w:pPr>
        <w:spacing w:line="240" w:lineRule="auto"/>
        <w:ind w:firstLine="0"/>
        <w:jc w:val="both"/>
        <w:rPr>
          <w:rFonts w:eastAsia="Times New Roman" w:asciiTheme="majorBidi" w:hAnsiTheme="majorBidi" w:cstheme="majorBidi"/>
          <w:b/>
          <w:bCs/>
          <w:sz w:val="20"/>
          <w:szCs w:val="20"/>
        </w:rPr>
        <w:sectPr>
          <w:headerReference r:id="rId5" w:type="default"/>
          <w:type w:val="continuous"/>
          <w:pgSz w:w="11906" w:h="16838"/>
          <w:pgMar w:top="1440" w:right="1800" w:bottom="1440" w:left="1800" w:header="720" w:footer="720" w:gutter="0"/>
          <w:cols w:space="708" w:num="2"/>
          <w:docGrid w:linePitch="360" w:charSpace="0"/>
        </w:sectPr>
      </w:pPr>
    </w:p>
    <w:p w14:paraId="1B2E519B">
      <w:pPr>
        <w:pStyle w:val="50"/>
        <w:jc w:val="both"/>
        <w:rPr>
          <w:rFonts w:eastAsia="Times New Roman" w:asciiTheme="majorBidi" w:hAnsiTheme="majorBidi" w:cstheme="majorBidi"/>
        </w:rPr>
        <w:sectPr>
          <w:type w:val="continuous"/>
          <w:pgSz w:w="11906" w:h="16838"/>
          <w:pgMar w:top="1440" w:right="1800" w:bottom="1440" w:left="1800" w:header="720" w:footer="720" w:gutter="0"/>
          <w:cols w:space="708" w:num="1"/>
          <w:docGrid w:linePitch="360" w:charSpace="0"/>
        </w:sectPr>
      </w:pPr>
    </w:p>
    <w:p w14:paraId="7D5E65D6">
      <w:pPr>
        <w:pStyle w:val="50"/>
        <w:jc w:val="both"/>
        <w:rPr>
          <w:rFonts w:asciiTheme="majorBidi" w:hAnsiTheme="majorBidi" w:cstheme="majorBidi"/>
        </w:rPr>
      </w:pPr>
      <w:r>
        <w:rPr>
          <w:rFonts w:eastAsia="Times New Roman" w:asciiTheme="majorBidi" w:hAnsiTheme="majorBidi" w:cstheme="majorBidi"/>
        </w:rPr>
        <w:t>Table (</w:t>
      </w:r>
      <w:r>
        <w:rPr>
          <w:rFonts w:asciiTheme="majorBidi" w:hAnsiTheme="majorBidi" w:cstheme="majorBidi"/>
        </w:rPr>
        <w:t>2</w:t>
      </w:r>
      <w:r>
        <w:rPr>
          <w:rFonts w:eastAsia="Times New Roman" w:asciiTheme="majorBidi" w:hAnsiTheme="majorBidi" w:cstheme="majorBidi"/>
        </w:rPr>
        <w:t>): Primers used for RORA SNPs (rs4774388 and rs11639084)</w:t>
      </w:r>
    </w:p>
    <w:tbl>
      <w:tblPr>
        <w:tblStyle w:val="23"/>
        <w:tblW w:w="832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1413"/>
        <w:gridCol w:w="5607"/>
      </w:tblGrid>
      <w:tr w14:paraId="67DE215E">
        <w:tblPrEx>
          <w:tblLayout w:type="fixed"/>
        </w:tblPrEx>
        <w:tc>
          <w:tcPr>
            <w:tcW w:w="1305" w:type="dxa"/>
            <w:tcBorders>
              <w:top w:val="single" w:color="auto" w:sz="4" w:space="0"/>
              <w:bottom w:val="single" w:color="auto" w:sz="4" w:space="0"/>
            </w:tcBorders>
          </w:tcPr>
          <w:p w14:paraId="591E3E20">
            <w:pPr>
              <w:spacing w:line="240" w:lineRule="auto"/>
              <w:ind w:firstLine="0"/>
              <w:jc w:val="both"/>
              <w:rPr>
                <w:rFonts w:asciiTheme="majorBidi" w:hAnsiTheme="majorBidi" w:cstheme="majorBidi"/>
                <w:b/>
                <w:bCs/>
                <w:sz w:val="20"/>
                <w:szCs w:val="20"/>
              </w:rPr>
            </w:pPr>
            <w:r>
              <w:rPr>
                <w:rFonts w:eastAsia="Times New Roman" w:asciiTheme="majorBidi" w:hAnsiTheme="majorBidi" w:cstheme="majorBidi"/>
                <w:b/>
                <w:bCs/>
                <w:sz w:val="20"/>
                <w:szCs w:val="20"/>
              </w:rPr>
              <w:t>SNP</w:t>
            </w:r>
          </w:p>
        </w:tc>
        <w:tc>
          <w:tcPr>
            <w:tcW w:w="1413" w:type="dxa"/>
            <w:tcBorders>
              <w:top w:val="single" w:color="auto" w:sz="4" w:space="0"/>
              <w:bottom w:val="single" w:color="auto" w:sz="4" w:space="0"/>
            </w:tcBorders>
          </w:tcPr>
          <w:p w14:paraId="6C70193B">
            <w:pPr>
              <w:spacing w:line="240" w:lineRule="auto"/>
              <w:ind w:firstLine="0"/>
              <w:jc w:val="both"/>
              <w:rPr>
                <w:rFonts w:asciiTheme="majorBidi" w:hAnsiTheme="majorBidi" w:cstheme="majorBidi"/>
                <w:b/>
                <w:bCs/>
                <w:sz w:val="20"/>
                <w:szCs w:val="20"/>
                <w:lang w:eastAsia="en-GB"/>
              </w:rPr>
            </w:pPr>
            <w:r>
              <w:rPr>
                <w:rFonts w:asciiTheme="majorBidi" w:hAnsiTheme="majorBidi" w:cstheme="majorBidi"/>
                <w:b/>
                <w:bCs/>
                <w:sz w:val="20"/>
                <w:szCs w:val="20"/>
                <w:lang w:eastAsia="en-GB"/>
              </w:rPr>
              <w:t xml:space="preserve">Primers </w:t>
            </w:r>
          </w:p>
        </w:tc>
        <w:tc>
          <w:tcPr>
            <w:tcW w:w="5607" w:type="dxa"/>
            <w:tcBorders>
              <w:top w:val="single" w:color="auto" w:sz="4" w:space="0"/>
              <w:bottom w:val="single" w:color="auto" w:sz="4" w:space="0"/>
            </w:tcBorders>
          </w:tcPr>
          <w:p w14:paraId="24CCDEF9">
            <w:pPr>
              <w:spacing w:line="240" w:lineRule="auto"/>
              <w:ind w:firstLine="0"/>
              <w:jc w:val="both"/>
              <w:rPr>
                <w:rFonts w:asciiTheme="majorBidi" w:hAnsiTheme="majorBidi" w:cstheme="majorBidi"/>
                <w:b/>
                <w:bCs/>
                <w:sz w:val="20"/>
                <w:szCs w:val="20"/>
              </w:rPr>
            </w:pPr>
            <w:r>
              <w:rPr>
                <w:rFonts w:asciiTheme="majorBidi" w:hAnsiTheme="majorBidi" w:cstheme="majorBidi"/>
                <w:b/>
                <w:bCs/>
                <w:sz w:val="20"/>
                <w:szCs w:val="20"/>
              </w:rPr>
              <w:t>Primer sequences</w:t>
            </w:r>
          </w:p>
        </w:tc>
      </w:tr>
      <w:tr w14:paraId="568EE1DF">
        <w:tblPrEx>
          <w:tblLayout w:type="fixed"/>
        </w:tblPrEx>
        <w:tc>
          <w:tcPr>
            <w:tcW w:w="1305" w:type="dxa"/>
            <w:vMerge w:val="restart"/>
            <w:tcBorders>
              <w:top w:val="single" w:color="auto" w:sz="4" w:space="0"/>
            </w:tcBorders>
          </w:tcPr>
          <w:p w14:paraId="57F046E8">
            <w:pPr>
              <w:spacing w:line="240" w:lineRule="auto"/>
              <w:ind w:firstLine="0"/>
              <w:jc w:val="both"/>
              <w:rPr>
                <w:rFonts w:asciiTheme="majorBidi" w:hAnsiTheme="majorBidi" w:cstheme="majorBidi"/>
                <w:sz w:val="20"/>
                <w:szCs w:val="20"/>
                <w:lang w:eastAsia="en-GB"/>
              </w:rPr>
            </w:pPr>
            <w:r>
              <w:rPr>
                <w:rFonts w:eastAsia="Microsoft YaHei" w:asciiTheme="majorBidi" w:hAnsiTheme="majorBidi" w:cstheme="majorBidi"/>
                <w:sz w:val="20"/>
                <w:szCs w:val="20"/>
              </w:rPr>
              <w:t>rs4774388</w:t>
            </w:r>
          </w:p>
        </w:tc>
        <w:tc>
          <w:tcPr>
            <w:tcW w:w="1413" w:type="dxa"/>
            <w:tcBorders>
              <w:top w:val="single" w:color="auto" w:sz="4" w:space="0"/>
            </w:tcBorders>
          </w:tcPr>
          <w:p w14:paraId="25BBBE45">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 xml:space="preserve">Forward Outer </w:t>
            </w:r>
          </w:p>
        </w:tc>
        <w:tc>
          <w:tcPr>
            <w:tcW w:w="5607" w:type="dxa"/>
            <w:tcBorders>
              <w:top w:val="single" w:color="auto" w:sz="4" w:space="0"/>
            </w:tcBorders>
          </w:tcPr>
          <w:p w14:paraId="76DAC790">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5' – CTGTGAGACCCTTTGACAACAGTACGTG – 3'</w:t>
            </w:r>
          </w:p>
        </w:tc>
      </w:tr>
      <w:tr w14:paraId="035DB0DB">
        <w:tblPrEx>
          <w:tblLayout w:type="fixed"/>
        </w:tblPrEx>
        <w:tc>
          <w:tcPr>
            <w:tcW w:w="1305" w:type="dxa"/>
            <w:vMerge w:val="continue"/>
          </w:tcPr>
          <w:p w14:paraId="25181F63">
            <w:pPr>
              <w:spacing w:line="240" w:lineRule="auto"/>
              <w:ind w:firstLine="0"/>
              <w:jc w:val="both"/>
              <w:rPr>
                <w:rFonts w:asciiTheme="majorBidi" w:hAnsiTheme="majorBidi" w:cstheme="majorBidi"/>
                <w:sz w:val="20"/>
                <w:szCs w:val="20"/>
                <w:lang w:eastAsia="en-GB"/>
              </w:rPr>
            </w:pPr>
          </w:p>
        </w:tc>
        <w:tc>
          <w:tcPr>
            <w:tcW w:w="1413" w:type="dxa"/>
          </w:tcPr>
          <w:p w14:paraId="4EFA70FD">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Reverse Outer</w:t>
            </w:r>
          </w:p>
        </w:tc>
        <w:tc>
          <w:tcPr>
            <w:tcW w:w="5607" w:type="dxa"/>
          </w:tcPr>
          <w:p w14:paraId="2EE4CAA5">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5' – TGAGGAAGAGTCCTTAGGAAGGGATGTC – 3'</w:t>
            </w:r>
          </w:p>
        </w:tc>
      </w:tr>
      <w:tr w14:paraId="6EA68B74">
        <w:tblPrEx>
          <w:tblLayout w:type="fixed"/>
        </w:tblPrEx>
        <w:tc>
          <w:tcPr>
            <w:tcW w:w="1305" w:type="dxa"/>
            <w:vMerge w:val="continue"/>
          </w:tcPr>
          <w:p w14:paraId="6E9BE96E">
            <w:pPr>
              <w:spacing w:line="240" w:lineRule="auto"/>
              <w:ind w:firstLine="0"/>
              <w:jc w:val="both"/>
              <w:rPr>
                <w:rFonts w:asciiTheme="majorBidi" w:hAnsiTheme="majorBidi" w:cstheme="majorBidi"/>
                <w:sz w:val="20"/>
                <w:szCs w:val="20"/>
                <w:lang w:eastAsia="en-GB"/>
              </w:rPr>
            </w:pPr>
          </w:p>
        </w:tc>
        <w:tc>
          <w:tcPr>
            <w:tcW w:w="1413" w:type="dxa"/>
          </w:tcPr>
          <w:p w14:paraId="67E5292A">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Forward Inner</w:t>
            </w:r>
          </w:p>
        </w:tc>
        <w:tc>
          <w:tcPr>
            <w:tcW w:w="5607" w:type="dxa"/>
          </w:tcPr>
          <w:p w14:paraId="6FB31D2A">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5' – CGGCATGATATTCATCGTCAAATCTGTTGC – 3'</w:t>
            </w:r>
          </w:p>
        </w:tc>
      </w:tr>
      <w:tr w14:paraId="49E9FC84">
        <w:tblPrEx>
          <w:tblLayout w:type="fixed"/>
        </w:tblPrEx>
        <w:tc>
          <w:tcPr>
            <w:tcW w:w="1305" w:type="dxa"/>
            <w:vMerge w:val="continue"/>
          </w:tcPr>
          <w:p w14:paraId="05A4C84A">
            <w:pPr>
              <w:spacing w:line="240" w:lineRule="auto"/>
              <w:ind w:firstLine="0"/>
              <w:jc w:val="both"/>
              <w:rPr>
                <w:rFonts w:asciiTheme="majorBidi" w:hAnsiTheme="majorBidi" w:cstheme="majorBidi"/>
                <w:sz w:val="20"/>
                <w:szCs w:val="20"/>
                <w:lang w:eastAsia="en-GB"/>
              </w:rPr>
            </w:pPr>
          </w:p>
        </w:tc>
        <w:tc>
          <w:tcPr>
            <w:tcW w:w="1413" w:type="dxa"/>
          </w:tcPr>
          <w:p w14:paraId="56B6F301">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Reverse Inner</w:t>
            </w:r>
          </w:p>
        </w:tc>
        <w:tc>
          <w:tcPr>
            <w:tcW w:w="5607" w:type="dxa"/>
          </w:tcPr>
          <w:p w14:paraId="38AA0757">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5' – GCTGAGATGGAGACATCACAGAATGTCA – 3'</w:t>
            </w:r>
          </w:p>
        </w:tc>
      </w:tr>
      <w:tr w14:paraId="100673EC">
        <w:tblPrEx>
          <w:tblLayout w:type="fixed"/>
        </w:tblPrEx>
        <w:tc>
          <w:tcPr>
            <w:tcW w:w="1305" w:type="dxa"/>
            <w:vMerge w:val="restart"/>
          </w:tcPr>
          <w:p w14:paraId="7586E005">
            <w:pPr>
              <w:spacing w:line="240" w:lineRule="auto"/>
              <w:ind w:firstLine="0"/>
              <w:jc w:val="both"/>
              <w:rPr>
                <w:rFonts w:asciiTheme="majorBidi" w:hAnsiTheme="majorBidi" w:cstheme="majorBidi"/>
                <w:sz w:val="20"/>
                <w:szCs w:val="20"/>
                <w:lang w:eastAsia="en-GB"/>
              </w:rPr>
            </w:pPr>
            <w:r>
              <w:rPr>
                <w:rFonts w:asciiTheme="majorBidi" w:hAnsiTheme="majorBidi" w:cstheme="majorBidi"/>
                <w:sz w:val="20"/>
                <w:szCs w:val="20"/>
              </w:rPr>
              <w:t>rs11639084</w:t>
            </w:r>
          </w:p>
        </w:tc>
        <w:tc>
          <w:tcPr>
            <w:tcW w:w="1413" w:type="dxa"/>
          </w:tcPr>
          <w:p w14:paraId="753CBB1A">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 xml:space="preserve">Forward Outer </w:t>
            </w:r>
          </w:p>
        </w:tc>
        <w:tc>
          <w:tcPr>
            <w:tcW w:w="5607" w:type="dxa"/>
          </w:tcPr>
          <w:p w14:paraId="1F97EA84">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 xml:space="preserve">5' – GTATTTGCATTTGTCATCCTTATCAACC – 3'    </w:t>
            </w:r>
          </w:p>
        </w:tc>
      </w:tr>
      <w:tr w14:paraId="14E9C573">
        <w:tblPrEx>
          <w:tblLayout w:type="fixed"/>
        </w:tblPrEx>
        <w:tc>
          <w:tcPr>
            <w:tcW w:w="1305" w:type="dxa"/>
            <w:vMerge w:val="continue"/>
          </w:tcPr>
          <w:p w14:paraId="75F88AB1">
            <w:pPr>
              <w:spacing w:line="240" w:lineRule="auto"/>
              <w:ind w:firstLine="0"/>
              <w:jc w:val="both"/>
              <w:rPr>
                <w:rFonts w:asciiTheme="majorBidi" w:hAnsiTheme="majorBidi" w:cstheme="majorBidi"/>
                <w:sz w:val="20"/>
                <w:szCs w:val="20"/>
                <w:lang w:eastAsia="en-GB"/>
              </w:rPr>
            </w:pPr>
          </w:p>
        </w:tc>
        <w:tc>
          <w:tcPr>
            <w:tcW w:w="1413" w:type="dxa"/>
          </w:tcPr>
          <w:p w14:paraId="50437028">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Reverse Outer</w:t>
            </w:r>
          </w:p>
        </w:tc>
        <w:tc>
          <w:tcPr>
            <w:tcW w:w="5607" w:type="dxa"/>
          </w:tcPr>
          <w:p w14:paraId="1B8F1853">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5' – AACTGTGGGCAAGTTATTTAACCTCTCT – 3'</w:t>
            </w:r>
          </w:p>
        </w:tc>
      </w:tr>
      <w:tr w14:paraId="7524804E">
        <w:tblPrEx>
          <w:tblLayout w:type="fixed"/>
        </w:tblPrEx>
        <w:tc>
          <w:tcPr>
            <w:tcW w:w="1305" w:type="dxa"/>
            <w:vMerge w:val="continue"/>
          </w:tcPr>
          <w:p w14:paraId="0FC41383">
            <w:pPr>
              <w:spacing w:line="240" w:lineRule="auto"/>
              <w:ind w:firstLine="0"/>
              <w:jc w:val="both"/>
              <w:rPr>
                <w:rFonts w:asciiTheme="majorBidi" w:hAnsiTheme="majorBidi" w:cstheme="majorBidi"/>
                <w:sz w:val="20"/>
                <w:szCs w:val="20"/>
                <w:lang w:eastAsia="en-GB"/>
              </w:rPr>
            </w:pPr>
          </w:p>
        </w:tc>
        <w:tc>
          <w:tcPr>
            <w:tcW w:w="1413" w:type="dxa"/>
          </w:tcPr>
          <w:p w14:paraId="29F27B04">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Forward Inner</w:t>
            </w:r>
          </w:p>
        </w:tc>
        <w:tc>
          <w:tcPr>
            <w:tcW w:w="5607" w:type="dxa"/>
          </w:tcPr>
          <w:p w14:paraId="399C115F">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5' – GTTGCCAGCTAATGTTTATTGCATAATC – 3'</w:t>
            </w:r>
          </w:p>
        </w:tc>
      </w:tr>
      <w:tr w14:paraId="2D209EB0">
        <w:tblPrEx>
          <w:tblLayout w:type="fixed"/>
        </w:tblPrEx>
        <w:tc>
          <w:tcPr>
            <w:tcW w:w="1305" w:type="dxa"/>
            <w:vMerge w:val="continue"/>
          </w:tcPr>
          <w:p w14:paraId="4220291B">
            <w:pPr>
              <w:spacing w:line="240" w:lineRule="auto"/>
              <w:ind w:firstLine="0"/>
              <w:jc w:val="both"/>
              <w:rPr>
                <w:rFonts w:asciiTheme="majorBidi" w:hAnsiTheme="majorBidi" w:cstheme="majorBidi"/>
                <w:sz w:val="20"/>
                <w:szCs w:val="20"/>
                <w:lang w:eastAsia="en-GB"/>
              </w:rPr>
            </w:pPr>
          </w:p>
        </w:tc>
        <w:tc>
          <w:tcPr>
            <w:tcW w:w="1413" w:type="dxa"/>
          </w:tcPr>
          <w:p w14:paraId="2A53379B">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Reverse Inner</w:t>
            </w:r>
          </w:p>
        </w:tc>
        <w:tc>
          <w:tcPr>
            <w:tcW w:w="5607" w:type="dxa"/>
          </w:tcPr>
          <w:p w14:paraId="14C6D6DD">
            <w:pPr>
              <w:spacing w:line="240" w:lineRule="auto"/>
              <w:ind w:firstLine="0"/>
              <w:jc w:val="both"/>
              <w:rPr>
                <w:rFonts w:asciiTheme="majorBidi" w:hAnsiTheme="majorBidi" w:cstheme="majorBidi"/>
                <w:sz w:val="20"/>
                <w:szCs w:val="20"/>
              </w:rPr>
            </w:pPr>
            <w:r>
              <w:rPr>
                <w:rFonts w:asciiTheme="majorBidi" w:hAnsiTheme="majorBidi" w:cstheme="majorBidi"/>
                <w:sz w:val="20"/>
                <w:szCs w:val="20"/>
              </w:rPr>
              <w:t>5' – TGGAGGCTTTAGTCTCTGGAACATATTA – 3'</w:t>
            </w:r>
          </w:p>
        </w:tc>
      </w:tr>
    </w:tbl>
    <w:p w14:paraId="3659D17A">
      <w:pPr>
        <w:spacing w:line="240" w:lineRule="auto"/>
        <w:ind w:firstLine="0"/>
        <w:jc w:val="both"/>
        <w:rPr>
          <w:rFonts w:asciiTheme="majorBidi" w:hAnsiTheme="majorBidi" w:cstheme="majorBidi"/>
          <w:sz w:val="24"/>
          <w:szCs w:val="24"/>
        </w:rPr>
        <w:sectPr>
          <w:type w:val="continuous"/>
          <w:pgSz w:w="11906" w:h="16838"/>
          <w:pgMar w:top="1440" w:right="1800" w:bottom="1440" w:left="1800" w:header="720" w:footer="720" w:gutter="0"/>
          <w:cols w:space="708" w:num="1"/>
          <w:docGrid w:linePitch="360" w:charSpace="0"/>
        </w:sectPr>
      </w:pPr>
    </w:p>
    <w:p w14:paraId="21EE89D5">
      <w:pPr>
        <w:spacing w:line="240" w:lineRule="auto"/>
        <w:ind w:firstLine="0"/>
        <w:jc w:val="both"/>
        <w:rPr>
          <w:rFont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Conclusion</w:t>
      </w:r>
    </w:p>
    <w:p w14:paraId="65A24F61">
      <w:pPr>
        <w:spacing w:line="240" w:lineRule="auto"/>
        <w:ind w:firstLine="0"/>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Accumulating evidence indicates that increased serum RORA protein levels and polymorphisms in the RORA gene, particularly rs11639084 and rs4774388, are closely associated with acne vulgaris and may play a pivotal role in its pathogenesis through inflammatory and metabolic pathways. These molecular alterations suggest that RORA has potential value as a prognostic biomarker for severe acne and as a predictor of associated metabolic disturbances. From a translational perspective, targeting RORA-mediated signaling represents a promising avenue for personalized acne management. Future research should focus on large multicenter studies, tissue-level expression </w:t>
      </w:r>
      <w:r>
        <w:rPr>
          <w:rFonts w:asciiTheme="majorBidi" w:hAnsiTheme="majorBidi" w:cstheme="majorBidi"/>
          <w:color w:val="000000" w:themeColor="text1"/>
          <w:kern w:val="2"/>
          <w:sz w:val="24"/>
          <w:szCs w:val="24"/>
          <w14:textFill>
            <w14:solidFill>
              <w14:schemeClr w14:val="tx1"/>
            </w14:solidFill>
          </w14:textFill>
        </w:rPr>
        <w:t>analyses, genotype-treatment response relationships, and the development of novel topical and systemic RORA-based therapeutic strategies to clarify its clinical utility and therapeutic potential.</w:t>
      </w:r>
    </w:p>
    <w:p w14:paraId="5035CD98">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Author Contributions:</w:t>
      </w:r>
    </w:p>
    <w:p w14:paraId="2C2A3EEC">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 xml:space="preserve">Prof. Dr. Hanan Hassan Sabry </w:t>
      </w:r>
    </w:p>
    <w:p w14:paraId="7997B6DE">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Professor of Dermatology, Venereology and Andrology</w:t>
      </w:r>
    </w:p>
    <w:p w14:paraId="36E328A7">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Faculty of medicine – Benha University</w:t>
      </w:r>
    </w:p>
    <w:p w14:paraId="1791CE4B">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Prof. Dr. Ahmed Mohamed Hamed</w:t>
      </w:r>
    </w:p>
    <w:p w14:paraId="6C9DC01E">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Professor of Dermatology, Venereology and Andrology</w:t>
      </w:r>
    </w:p>
    <w:p w14:paraId="045DAECB">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Faculty of medicine – Benha University</w:t>
      </w:r>
    </w:p>
    <w:p w14:paraId="59C0E268">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Prof. Dr. Naglaa Fathy Alhusseini</w:t>
      </w:r>
    </w:p>
    <w:p w14:paraId="7610C67B">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Professor of Medical Biochemistry &amp; Molecular Biology Head of Molecular Biology unit</w:t>
      </w:r>
    </w:p>
    <w:p w14:paraId="0928AE98">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Faculty of medicine – Benha University</w:t>
      </w:r>
    </w:p>
    <w:p w14:paraId="765D8CED">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 xml:space="preserve">Bousi Elnady Mohamed Yousef </w:t>
      </w:r>
    </w:p>
    <w:p w14:paraId="59319E04">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M.B.B.Ch (2017) - M.s.c (2022)</w:t>
      </w:r>
    </w:p>
    <w:p w14:paraId="36A1ACED">
      <w:pPr>
        <w:spacing w:line="240" w:lineRule="auto"/>
        <w:ind w:firstLine="0"/>
        <w:jc w:val="both"/>
        <w:rPr>
          <w:rFonts w:asciiTheme="majorBidi" w:hAnsiTheme="majorBidi" w:cstheme="majorBidi"/>
          <w:sz w:val="24"/>
          <w:szCs w:val="24"/>
        </w:rPr>
      </w:pPr>
      <w:r>
        <w:rPr>
          <w:rFonts w:asciiTheme="majorBidi" w:hAnsiTheme="majorBidi" w:cstheme="majorBidi"/>
          <w:b/>
          <w:bCs/>
          <w:sz w:val="24"/>
          <w:szCs w:val="24"/>
        </w:rPr>
        <w:t>Funding:</w:t>
      </w:r>
      <w:r>
        <w:rPr>
          <w:rFonts w:asciiTheme="majorBidi" w:hAnsiTheme="majorBidi" w:cstheme="majorBidi"/>
          <w:sz w:val="24"/>
          <w:szCs w:val="24"/>
        </w:rPr>
        <w:t xml:space="preserve"> This research was primarily personally funded. Benha University facilitated case recruitment and provided research lab facilities. </w:t>
      </w:r>
    </w:p>
    <w:p w14:paraId="50FDDBDF">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Acknowledgments:</w:t>
      </w:r>
    </w:p>
    <w:p w14:paraId="7D6E5D58">
      <w:pPr>
        <w:spacing w:line="240" w:lineRule="auto"/>
        <w:ind w:firstLine="0"/>
        <w:jc w:val="both"/>
        <w:rPr>
          <w:rFonts w:asciiTheme="majorBidi" w:hAnsiTheme="majorBidi" w:cstheme="majorBidi"/>
          <w:b/>
          <w:bCs/>
          <w:sz w:val="24"/>
          <w:szCs w:val="24"/>
        </w:rPr>
      </w:pPr>
      <w:r>
        <w:rPr>
          <w:rFonts w:asciiTheme="majorBidi" w:hAnsiTheme="majorBidi" w:cstheme="majorBidi"/>
          <w:sz w:val="24"/>
          <w:szCs w:val="24"/>
        </w:rPr>
        <w:t>The authors would like to thank the staff of the Department of Dermatology, Venereology and Andrology, Faculty of Medicine, Benha University, for their technical support and assistance during the conduct of this study.</w:t>
      </w:r>
    </w:p>
    <w:p w14:paraId="322C3E9E">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Declarations</w:t>
      </w:r>
    </w:p>
    <w:p w14:paraId="6D7FE47D">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Ethics approval and consent to participate</w:t>
      </w:r>
    </w:p>
    <w:p w14:paraId="0F909254">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Applicable.</w:t>
      </w:r>
    </w:p>
    <w:p w14:paraId="2B097521">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Consent for publication</w:t>
      </w:r>
    </w:p>
    <w:p w14:paraId="0C364FB5">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Applicable.</w:t>
      </w:r>
    </w:p>
    <w:p w14:paraId="490AB0B2">
      <w:pPr>
        <w:spacing w:line="240" w:lineRule="auto"/>
        <w:ind w:firstLine="0"/>
        <w:jc w:val="both"/>
        <w:rPr>
          <w:rFonts w:asciiTheme="majorBidi" w:hAnsiTheme="majorBidi" w:cstheme="majorBidi"/>
          <w:b/>
          <w:bCs/>
          <w:sz w:val="24"/>
          <w:szCs w:val="24"/>
        </w:rPr>
      </w:pPr>
      <w:r>
        <w:rPr>
          <w:rFonts w:asciiTheme="majorBidi" w:hAnsiTheme="majorBidi" w:cstheme="majorBidi"/>
          <w:b/>
          <w:bCs/>
          <w:sz w:val="24"/>
          <w:szCs w:val="24"/>
        </w:rPr>
        <w:t>Conflicts of Interest:</w:t>
      </w:r>
    </w:p>
    <w:p w14:paraId="7AFFB2FA">
      <w:pPr>
        <w:spacing w:line="240" w:lineRule="auto"/>
        <w:ind w:firstLine="0"/>
        <w:jc w:val="both"/>
        <w:rPr>
          <w:rFonts w:asciiTheme="majorBidi" w:hAnsiTheme="majorBidi" w:cstheme="majorBidi"/>
          <w:sz w:val="24"/>
          <w:szCs w:val="24"/>
        </w:rPr>
      </w:pPr>
      <w:r>
        <w:rPr>
          <w:rFonts w:asciiTheme="majorBidi" w:hAnsiTheme="majorBidi" w:cstheme="majorBidi"/>
          <w:sz w:val="24"/>
          <w:szCs w:val="24"/>
        </w:rPr>
        <w:t>The authors declare no conflict of interest.</w:t>
      </w:r>
    </w:p>
    <w:p w14:paraId="163CBA6E">
      <w:pPr>
        <w:spacing w:line="240" w:lineRule="auto"/>
        <w:ind w:firstLine="0"/>
        <w:jc w:val="both"/>
        <w:rPr>
          <w:rFonts w:hint="cs" w:asciiTheme="majorBidi" w:hAnsiTheme="majorBidi" w:cstheme="majorBidi"/>
          <w:b/>
          <w:bCs/>
          <w:color w:val="000000" w:themeColor="text1"/>
          <w:kern w:val="2"/>
          <w:sz w:val="24"/>
          <w:szCs w:val="24"/>
          <w14:textFill>
            <w14:solidFill>
              <w14:schemeClr w14:val="tx1"/>
            </w14:solidFill>
          </w14:textFill>
        </w:rPr>
      </w:pPr>
      <w:r>
        <w:rPr>
          <w:rFonts w:asciiTheme="majorBidi" w:hAnsiTheme="majorBidi" w:cstheme="majorBidi"/>
          <w:b/>
          <w:bCs/>
          <w:color w:val="000000" w:themeColor="text1"/>
          <w:kern w:val="2"/>
          <w:sz w:val="24"/>
          <w:szCs w:val="24"/>
          <w14:textFill>
            <w14:solidFill>
              <w14:schemeClr w14:val="tx1"/>
            </w14:solidFill>
          </w14:textFill>
        </w:rPr>
        <w:t>References</w:t>
      </w:r>
    </w:p>
    <w:p w14:paraId="5A00FDAF">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Benna</w:t>
      </w:r>
      <w:r>
        <w:rPr>
          <w:rFonts w:asciiTheme="majorBidi" w:hAnsiTheme="majorBidi" w:cstheme="majorBidi"/>
          <w:color w:val="000000" w:themeColor="text1"/>
          <w:kern w:val="2"/>
          <w:sz w:val="24"/>
          <w:szCs w:val="24"/>
          <w14:textFill>
            <w14:solidFill>
              <w14:schemeClr w14:val="tx1"/>
            </w14:solidFill>
          </w14:textFill>
        </w:rPr>
        <w:t xml:space="preserve"> C, </w:t>
      </w:r>
      <w:r>
        <w:rPr>
          <w:rFonts w:asciiTheme="majorBidi" w:hAnsiTheme="majorBidi" w:cstheme="majorBidi"/>
          <w:color w:val="000000" w:themeColor="text1"/>
          <w:kern w:val="2"/>
          <w:sz w:val="24"/>
          <w:szCs w:val="24"/>
          <w14:textFill>
            <w14:solidFill>
              <w14:schemeClr w14:val="tx1"/>
            </w14:solidFill>
          </w14:textFill>
        </w:rPr>
        <w:t>Rajendran</w:t>
      </w:r>
      <w:r>
        <w:rPr>
          <w:rFonts w:asciiTheme="majorBidi" w:hAnsiTheme="majorBidi" w:cstheme="majorBidi"/>
          <w:color w:val="000000" w:themeColor="text1"/>
          <w:kern w:val="2"/>
          <w:sz w:val="24"/>
          <w:szCs w:val="24"/>
          <w14:textFill>
            <w14:solidFill>
              <w14:schemeClr w14:val="tx1"/>
            </w14:solidFill>
          </w14:textFill>
        </w:rPr>
        <w:t xml:space="preserve"> S, Spiro G, </w:t>
      </w:r>
      <w:r>
        <w:rPr>
          <w:rFonts w:asciiTheme="majorBidi" w:hAnsiTheme="majorBidi" w:cstheme="majorBidi"/>
          <w:color w:val="000000" w:themeColor="text1"/>
          <w:kern w:val="2"/>
          <w:sz w:val="24"/>
          <w:szCs w:val="24"/>
          <w14:textFill>
            <w14:solidFill>
              <w14:schemeClr w14:val="tx1"/>
            </w14:solidFill>
          </w14:textFill>
        </w:rPr>
        <w:t>Menin</w:t>
      </w:r>
      <w:r>
        <w:rPr>
          <w:rFonts w:asciiTheme="majorBidi" w:hAnsiTheme="majorBidi" w:cstheme="majorBidi"/>
          <w:color w:val="000000" w:themeColor="text1"/>
          <w:kern w:val="2"/>
          <w:sz w:val="24"/>
          <w:szCs w:val="24"/>
          <w14:textFill>
            <w14:solidFill>
              <w14:schemeClr w14:val="tx1"/>
            </w14:solidFill>
          </w14:textFill>
        </w:rPr>
        <w:t xml:space="preserve"> C, </w:t>
      </w:r>
      <w:r>
        <w:rPr>
          <w:rFonts w:asciiTheme="majorBidi" w:hAnsiTheme="majorBidi" w:cstheme="majorBidi"/>
          <w:color w:val="000000" w:themeColor="text1"/>
          <w:kern w:val="2"/>
          <w:sz w:val="24"/>
          <w:szCs w:val="24"/>
          <w14:textFill>
            <w14:solidFill>
              <w14:schemeClr w14:val="tx1"/>
            </w14:solidFill>
          </w14:textFill>
        </w:rPr>
        <w:t>Dall’Olmo</w:t>
      </w:r>
      <w:r>
        <w:rPr>
          <w:rFonts w:asciiTheme="majorBidi" w:hAnsiTheme="majorBidi" w:cstheme="majorBidi"/>
          <w:color w:val="000000" w:themeColor="text1"/>
          <w:kern w:val="2"/>
          <w:sz w:val="24"/>
          <w:szCs w:val="24"/>
          <w14:textFill>
            <w14:solidFill>
              <w14:schemeClr w14:val="tx1"/>
            </w14:solidFill>
          </w14:textFill>
        </w:rPr>
        <w:t xml:space="preserve"> L, Rossi CR, </w:t>
      </w:r>
      <w:r>
        <w:rPr>
          <w:rFonts w:asciiTheme="majorBidi" w:hAnsiTheme="majorBidi" w:cstheme="majorBidi"/>
          <w:color w:val="000000" w:themeColor="text1"/>
          <w:kern w:val="2"/>
          <w:sz w:val="24"/>
          <w:szCs w:val="24"/>
          <w14:textFill>
            <w14:solidFill>
              <w14:schemeClr w14:val="tx1"/>
            </w14:solidFill>
          </w14:textFill>
        </w:rPr>
        <w:t>Mocellin</w:t>
      </w:r>
      <w:r>
        <w:rPr>
          <w:rFonts w:asciiTheme="majorBidi" w:hAnsiTheme="majorBidi" w:cstheme="majorBidi"/>
          <w:color w:val="000000" w:themeColor="text1"/>
          <w:kern w:val="2"/>
          <w:sz w:val="24"/>
          <w:szCs w:val="24"/>
          <w14:textFill>
            <w14:solidFill>
              <w14:schemeClr w14:val="tx1"/>
            </w14:solidFill>
          </w14:textFill>
        </w:rPr>
        <w:t xml:space="preserve"> S. Gender-specific associations between polymorphisms of the circadian gene RORA and cutaneous melanoma susceptibility. Journal of Translational Medicine. 2021 Feb 6;19[1]:57.</w:t>
      </w:r>
    </w:p>
    <w:p w14:paraId="7011674A">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Burkhart CG, Burkhart CN. Expanding the </w:t>
      </w:r>
      <w:r>
        <w:rPr>
          <w:rFonts w:asciiTheme="majorBidi" w:hAnsiTheme="majorBidi" w:cstheme="majorBidi"/>
          <w:color w:val="000000" w:themeColor="text1"/>
          <w:kern w:val="2"/>
          <w:sz w:val="24"/>
          <w:szCs w:val="24"/>
          <w14:textFill>
            <w14:solidFill>
              <w14:schemeClr w14:val="tx1"/>
            </w14:solidFill>
          </w14:textFill>
        </w:rPr>
        <w:t>microcomedone</w:t>
      </w:r>
      <w:r>
        <w:rPr>
          <w:rFonts w:asciiTheme="majorBidi" w:hAnsiTheme="majorBidi" w:cstheme="majorBidi"/>
          <w:color w:val="000000" w:themeColor="text1"/>
          <w:kern w:val="2"/>
          <w:sz w:val="24"/>
          <w:szCs w:val="24"/>
          <w14:textFill>
            <w14:solidFill>
              <w14:schemeClr w14:val="tx1"/>
            </w14:solidFill>
          </w14:textFill>
        </w:rPr>
        <w:t xml:space="preserve"> theory and acne therapeutics: Propionibacterium acnes biofilm produces biological glue that holds </w:t>
      </w:r>
      <w:r>
        <w:rPr>
          <w:rFonts w:asciiTheme="majorBidi" w:hAnsiTheme="majorBidi" w:cstheme="majorBidi"/>
          <w:color w:val="000000" w:themeColor="text1"/>
          <w:kern w:val="2"/>
          <w:sz w:val="24"/>
          <w:szCs w:val="24"/>
          <w14:textFill>
            <w14:solidFill>
              <w14:schemeClr w14:val="tx1"/>
            </w14:solidFill>
          </w14:textFill>
        </w:rPr>
        <w:t>corneocytes</w:t>
      </w:r>
      <w:r>
        <w:rPr>
          <w:rFonts w:asciiTheme="majorBidi" w:hAnsiTheme="majorBidi" w:cstheme="majorBidi"/>
          <w:color w:val="000000" w:themeColor="text1"/>
          <w:kern w:val="2"/>
          <w:sz w:val="24"/>
          <w:szCs w:val="24"/>
          <w14:textFill>
            <w14:solidFill>
              <w14:schemeClr w14:val="tx1"/>
            </w14:solidFill>
          </w14:textFill>
        </w:rPr>
        <w:t xml:space="preserve"> together to form plug. Journal of the American Academy of Dermatology. 2007 Oct 1;57[4]:722-4.</w:t>
      </w:r>
    </w:p>
    <w:p w14:paraId="5AB453FF">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Capone A, Volpe E. Transcriptional regulators of T helper 17 cell </w:t>
      </w:r>
      <w:r>
        <w:rPr>
          <w:rFonts w:asciiTheme="majorBidi" w:hAnsiTheme="majorBidi" w:cstheme="majorBidi"/>
          <w:color w:val="000000" w:themeColor="text1"/>
          <w:kern w:val="2"/>
          <w:sz w:val="24"/>
          <w:szCs w:val="24"/>
          <w14:textFill>
            <w14:solidFill>
              <w14:schemeClr w14:val="tx1"/>
            </w14:solidFill>
          </w14:textFill>
        </w:rPr>
        <w:t>differentiation in health and autoimmune diseases. Frontiers in immunology. 2020 Mar 12;11:348.</w:t>
      </w:r>
    </w:p>
    <w:p w14:paraId="75F0008C">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Cunliffe</w:t>
      </w:r>
      <w:r>
        <w:rPr>
          <w:rFonts w:asciiTheme="majorBidi" w:hAnsiTheme="majorBidi" w:cstheme="majorBidi"/>
          <w:color w:val="000000" w:themeColor="text1"/>
          <w:kern w:val="2"/>
          <w:sz w:val="24"/>
          <w:szCs w:val="24"/>
          <w14:textFill>
            <w14:solidFill>
              <w14:schemeClr w14:val="tx1"/>
            </w14:solidFill>
          </w14:textFill>
        </w:rPr>
        <w:t xml:space="preserve"> WJ, Holland DB, Jeremy A. </w:t>
      </w:r>
      <w:r>
        <w:rPr>
          <w:rFonts w:asciiTheme="majorBidi" w:hAnsiTheme="majorBidi" w:cstheme="majorBidi"/>
          <w:color w:val="000000" w:themeColor="text1"/>
          <w:kern w:val="2"/>
          <w:sz w:val="24"/>
          <w:szCs w:val="24"/>
          <w14:textFill>
            <w14:solidFill>
              <w14:schemeClr w14:val="tx1"/>
            </w14:solidFill>
          </w14:textFill>
        </w:rPr>
        <w:t>Comedone</w:t>
      </w:r>
      <w:r>
        <w:rPr>
          <w:rFonts w:asciiTheme="majorBidi" w:hAnsiTheme="majorBidi" w:cstheme="majorBidi"/>
          <w:color w:val="000000" w:themeColor="text1"/>
          <w:kern w:val="2"/>
          <w:sz w:val="24"/>
          <w:szCs w:val="24"/>
          <w14:textFill>
            <w14:solidFill>
              <w14:schemeClr w14:val="tx1"/>
            </w14:solidFill>
          </w14:textFill>
        </w:rPr>
        <w:t xml:space="preserve"> formation: etiology, clinical presentation, and treatment. Clinics in dermatology. 2004 Sep 1;22[5]:367-74.</w:t>
      </w:r>
    </w:p>
    <w:p w14:paraId="639EA8C3">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Gannesen</w:t>
      </w:r>
      <w:r>
        <w:rPr>
          <w:rFonts w:asciiTheme="majorBidi" w:hAnsiTheme="majorBidi" w:cstheme="majorBidi"/>
          <w:color w:val="000000" w:themeColor="text1"/>
          <w:kern w:val="2"/>
          <w:sz w:val="24"/>
          <w:szCs w:val="24"/>
          <w14:textFill>
            <w14:solidFill>
              <w14:schemeClr w14:val="tx1"/>
            </w14:solidFill>
          </w14:textFill>
        </w:rPr>
        <w:t xml:space="preserve"> AV, </w:t>
      </w:r>
      <w:r>
        <w:rPr>
          <w:rFonts w:asciiTheme="majorBidi" w:hAnsiTheme="majorBidi" w:cstheme="majorBidi"/>
          <w:color w:val="000000" w:themeColor="text1"/>
          <w:kern w:val="2"/>
          <w:sz w:val="24"/>
          <w:szCs w:val="24"/>
          <w14:textFill>
            <w14:solidFill>
              <w14:schemeClr w14:val="tx1"/>
            </w14:solidFill>
          </w14:textFill>
        </w:rPr>
        <w:t>Zdorovenko</w:t>
      </w:r>
      <w:r>
        <w:rPr>
          <w:rFonts w:asciiTheme="majorBidi" w:hAnsiTheme="majorBidi" w:cstheme="majorBidi"/>
          <w:color w:val="000000" w:themeColor="text1"/>
          <w:kern w:val="2"/>
          <w:sz w:val="24"/>
          <w:szCs w:val="24"/>
          <w14:textFill>
            <w14:solidFill>
              <w14:schemeClr w14:val="tx1"/>
            </w14:solidFill>
          </w14:textFill>
        </w:rPr>
        <w:t xml:space="preserve"> EL, </w:t>
      </w:r>
      <w:r>
        <w:rPr>
          <w:rFonts w:asciiTheme="majorBidi" w:hAnsiTheme="majorBidi" w:cstheme="majorBidi"/>
          <w:color w:val="000000" w:themeColor="text1"/>
          <w:kern w:val="2"/>
          <w:sz w:val="24"/>
          <w:szCs w:val="24"/>
          <w14:textFill>
            <w14:solidFill>
              <w14:schemeClr w14:val="tx1"/>
            </w14:solidFill>
          </w14:textFill>
        </w:rPr>
        <w:t>Botchkova</w:t>
      </w:r>
      <w:r>
        <w:rPr>
          <w:rFonts w:asciiTheme="majorBidi" w:hAnsiTheme="majorBidi" w:cstheme="majorBidi"/>
          <w:color w:val="000000" w:themeColor="text1"/>
          <w:kern w:val="2"/>
          <w:sz w:val="24"/>
          <w:szCs w:val="24"/>
          <w14:textFill>
            <w14:solidFill>
              <w14:schemeClr w14:val="tx1"/>
            </w14:solidFill>
          </w14:textFill>
        </w:rPr>
        <w:t xml:space="preserve"> EA, </w:t>
      </w:r>
      <w:r>
        <w:rPr>
          <w:rFonts w:asciiTheme="majorBidi" w:hAnsiTheme="majorBidi" w:cstheme="majorBidi"/>
          <w:color w:val="000000" w:themeColor="text1"/>
          <w:kern w:val="2"/>
          <w:sz w:val="24"/>
          <w:szCs w:val="24"/>
          <w14:textFill>
            <w14:solidFill>
              <w14:schemeClr w14:val="tx1"/>
            </w14:solidFill>
          </w14:textFill>
        </w:rPr>
        <w:t>Hardouin</w:t>
      </w:r>
      <w:r>
        <w:rPr>
          <w:rFonts w:asciiTheme="majorBidi" w:hAnsiTheme="majorBidi" w:cstheme="majorBidi"/>
          <w:color w:val="000000" w:themeColor="text1"/>
          <w:kern w:val="2"/>
          <w:sz w:val="24"/>
          <w:szCs w:val="24"/>
          <w14:textFill>
            <w14:solidFill>
              <w14:schemeClr w14:val="tx1"/>
            </w14:solidFill>
          </w14:textFill>
        </w:rPr>
        <w:t xml:space="preserve"> J, </w:t>
      </w:r>
      <w:r>
        <w:rPr>
          <w:rFonts w:asciiTheme="majorBidi" w:hAnsiTheme="majorBidi" w:cstheme="majorBidi"/>
          <w:color w:val="000000" w:themeColor="text1"/>
          <w:kern w:val="2"/>
          <w:sz w:val="24"/>
          <w:szCs w:val="24"/>
          <w14:textFill>
            <w14:solidFill>
              <w14:schemeClr w14:val="tx1"/>
            </w14:solidFill>
          </w14:textFill>
        </w:rPr>
        <w:t>Massier</w:t>
      </w:r>
      <w:r>
        <w:rPr>
          <w:rFonts w:asciiTheme="majorBidi" w:hAnsiTheme="majorBidi" w:cstheme="majorBidi"/>
          <w:color w:val="000000" w:themeColor="text1"/>
          <w:kern w:val="2"/>
          <w:sz w:val="24"/>
          <w:szCs w:val="24"/>
          <w14:textFill>
            <w14:solidFill>
              <w14:schemeClr w14:val="tx1"/>
            </w14:solidFill>
          </w14:textFill>
        </w:rPr>
        <w:t xml:space="preserve"> S, </w:t>
      </w:r>
      <w:r>
        <w:rPr>
          <w:rFonts w:asciiTheme="majorBidi" w:hAnsiTheme="majorBidi" w:cstheme="majorBidi"/>
          <w:color w:val="000000" w:themeColor="text1"/>
          <w:kern w:val="2"/>
          <w:sz w:val="24"/>
          <w:szCs w:val="24"/>
          <w14:textFill>
            <w14:solidFill>
              <w14:schemeClr w14:val="tx1"/>
            </w14:solidFill>
          </w14:textFill>
        </w:rPr>
        <w:t>Kopitsyn</w:t>
      </w:r>
      <w:r>
        <w:rPr>
          <w:rFonts w:asciiTheme="majorBidi" w:hAnsiTheme="majorBidi" w:cstheme="majorBidi"/>
          <w:color w:val="000000" w:themeColor="text1"/>
          <w:kern w:val="2"/>
          <w:sz w:val="24"/>
          <w:szCs w:val="24"/>
          <w14:textFill>
            <w14:solidFill>
              <w14:schemeClr w14:val="tx1"/>
            </w14:solidFill>
          </w14:textFill>
        </w:rPr>
        <w:t xml:space="preserve"> DS, </w:t>
      </w:r>
      <w:r>
        <w:rPr>
          <w:rFonts w:asciiTheme="majorBidi" w:hAnsiTheme="majorBidi" w:cstheme="majorBidi"/>
          <w:color w:val="000000" w:themeColor="text1"/>
          <w:kern w:val="2"/>
          <w:sz w:val="24"/>
          <w:szCs w:val="24"/>
          <w14:textFill>
            <w14:solidFill>
              <w14:schemeClr w14:val="tx1"/>
            </w14:solidFill>
          </w14:textFill>
        </w:rPr>
        <w:t>Gorbachevskii</w:t>
      </w:r>
      <w:r>
        <w:rPr>
          <w:rFonts w:asciiTheme="majorBidi" w:hAnsiTheme="majorBidi" w:cstheme="majorBidi"/>
          <w:color w:val="000000" w:themeColor="text1"/>
          <w:kern w:val="2"/>
          <w:sz w:val="24"/>
          <w:szCs w:val="24"/>
          <w14:textFill>
            <w14:solidFill>
              <w14:schemeClr w14:val="tx1"/>
            </w14:solidFill>
          </w14:textFill>
        </w:rPr>
        <w:t xml:space="preserve"> MV, </w:t>
      </w:r>
      <w:r>
        <w:rPr>
          <w:rFonts w:asciiTheme="majorBidi" w:hAnsiTheme="majorBidi" w:cstheme="majorBidi"/>
          <w:color w:val="000000" w:themeColor="text1"/>
          <w:kern w:val="2"/>
          <w:sz w:val="24"/>
          <w:szCs w:val="24"/>
          <w14:textFill>
            <w14:solidFill>
              <w14:schemeClr w14:val="tx1"/>
            </w14:solidFill>
          </w14:textFill>
        </w:rPr>
        <w:t>Kadykova</w:t>
      </w:r>
      <w:r>
        <w:rPr>
          <w:rFonts w:asciiTheme="majorBidi" w:hAnsiTheme="majorBidi" w:cstheme="majorBidi"/>
          <w:color w:val="000000" w:themeColor="text1"/>
          <w:kern w:val="2"/>
          <w:sz w:val="24"/>
          <w:szCs w:val="24"/>
          <w14:textFill>
            <w14:solidFill>
              <w14:schemeClr w14:val="tx1"/>
            </w14:solidFill>
          </w14:textFill>
        </w:rPr>
        <w:t xml:space="preserve"> AA, </w:t>
      </w:r>
      <w:r>
        <w:rPr>
          <w:rFonts w:asciiTheme="majorBidi" w:hAnsiTheme="majorBidi" w:cstheme="majorBidi"/>
          <w:color w:val="000000" w:themeColor="text1"/>
          <w:kern w:val="2"/>
          <w:sz w:val="24"/>
          <w:szCs w:val="24"/>
          <w14:textFill>
            <w14:solidFill>
              <w14:schemeClr w14:val="tx1"/>
            </w14:solidFill>
          </w14:textFill>
        </w:rPr>
        <w:t>Shashkov</w:t>
      </w:r>
      <w:r>
        <w:rPr>
          <w:rFonts w:asciiTheme="majorBidi" w:hAnsiTheme="majorBidi" w:cstheme="majorBidi"/>
          <w:color w:val="000000" w:themeColor="text1"/>
          <w:kern w:val="2"/>
          <w:sz w:val="24"/>
          <w:szCs w:val="24"/>
          <w14:textFill>
            <w14:solidFill>
              <w14:schemeClr w14:val="tx1"/>
            </w14:solidFill>
          </w14:textFill>
        </w:rPr>
        <w:t xml:space="preserve"> AS, </w:t>
      </w:r>
      <w:r>
        <w:rPr>
          <w:rFonts w:asciiTheme="majorBidi" w:hAnsiTheme="majorBidi" w:cstheme="majorBidi"/>
          <w:color w:val="000000" w:themeColor="text1"/>
          <w:kern w:val="2"/>
          <w:sz w:val="24"/>
          <w:szCs w:val="24"/>
          <w14:textFill>
            <w14:solidFill>
              <w14:schemeClr w14:val="tx1"/>
            </w14:solidFill>
          </w14:textFill>
        </w:rPr>
        <w:t>Zhurina</w:t>
      </w:r>
      <w:r>
        <w:rPr>
          <w:rFonts w:asciiTheme="majorBidi" w:hAnsiTheme="majorBidi" w:cstheme="majorBidi"/>
          <w:color w:val="000000" w:themeColor="text1"/>
          <w:kern w:val="2"/>
          <w:sz w:val="24"/>
          <w:szCs w:val="24"/>
          <w14:textFill>
            <w14:solidFill>
              <w14:schemeClr w14:val="tx1"/>
            </w14:solidFill>
          </w14:textFill>
        </w:rPr>
        <w:t xml:space="preserve"> MV, </w:t>
      </w:r>
      <w:r>
        <w:rPr>
          <w:rFonts w:asciiTheme="majorBidi" w:hAnsiTheme="majorBidi" w:cstheme="majorBidi"/>
          <w:color w:val="000000" w:themeColor="text1"/>
          <w:kern w:val="2"/>
          <w:sz w:val="24"/>
          <w:szCs w:val="24"/>
          <w14:textFill>
            <w14:solidFill>
              <w14:schemeClr w14:val="tx1"/>
            </w14:solidFill>
          </w14:textFill>
        </w:rPr>
        <w:t>Netrusov</w:t>
      </w:r>
      <w:r>
        <w:rPr>
          <w:rFonts w:asciiTheme="majorBidi" w:hAnsiTheme="majorBidi" w:cstheme="majorBidi"/>
          <w:color w:val="000000" w:themeColor="text1"/>
          <w:kern w:val="2"/>
          <w:sz w:val="24"/>
          <w:szCs w:val="24"/>
          <w14:textFill>
            <w14:solidFill>
              <w14:schemeClr w14:val="tx1"/>
            </w14:solidFill>
          </w14:textFill>
        </w:rPr>
        <w:t xml:space="preserve"> AI. Composition of the biofilm matrix of </w:t>
      </w:r>
      <w:r>
        <w:rPr>
          <w:rFonts w:asciiTheme="majorBidi" w:hAnsiTheme="majorBidi" w:cstheme="majorBidi"/>
          <w:color w:val="000000" w:themeColor="text1"/>
          <w:kern w:val="2"/>
          <w:sz w:val="24"/>
          <w:szCs w:val="24"/>
          <w14:textFill>
            <w14:solidFill>
              <w14:schemeClr w14:val="tx1"/>
            </w14:solidFill>
          </w14:textFill>
        </w:rPr>
        <w:t>Cutibacterium</w:t>
      </w:r>
      <w:r>
        <w:rPr>
          <w:rFonts w:asciiTheme="majorBidi" w:hAnsiTheme="majorBidi" w:cstheme="majorBidi"/>
          <w:color w:val="000000" w:themeColor="text1"/>
          <w:kern w:val="2"/>
          <w:sz w:val="24"/>
          <w:szCs w:val="24"/>
          <w14:textFill>
            <w14:solidFill>
              <w14:schemeClr w14:val="tx1"/>
            </w14:solidFill>
          </w14:textFill>
        </w:rPr>
        <w:t xml:space="preserve"> acnes </w:t>
      </w:r>
      <w:r>
        <w:rPr>
          <w:rFonts w:asciiTheme="majorBidi" w:hAnsiTheme="majorBidi" w:cstheme="majorBidi"/>
          <w:color w:val="000000" w:themeColor="text1"/>
          <w:kern w:val="2"/>
          <w:sz w:val="24"/>
          <w:szCs w:val="24"/>
          <w14:textFill>
            <w14:solidFill>
              <w14:schemeClr w14:val="tx1"/>
            </w14:solidFill>
          </w14:textFill>
        </w:rPr>
        <w:t>acneic</w:t>
      </w:r>
      <w:r>
        <w:rPr>
          <w:rFonts w:asciiTheme="majorBidi" w:hAnsiTheme="majorBidi" w:cstheme="majorBidi"/>
          <w:color w:val="000000" w:themeColor="text1"/>
          <w:kern w:val="2"/>
          <w:sz w:val="24"/>
          <w:szCs w:val="24"/>
          <w14:textFill>
            <w14:solidFill>
              <w14:schemeClr w14:val="tx1"/>
            </w14:solidFill>
          </w14:textFill>
        </w:rPr>
        <w:t xml:space="preserve"> strain RT5. Frontiers in microbiology. 2019 Jun 21;10:1284.</w:t>
      </w:r>
    </w:p>
    <w:p w14:paraId="2269A8C5">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George R, Clarke S, </w:t>
      </w:r>
      <w:r>
        <w:rPr>
          <w:rFonts w:asciiTheme="majorBidi" w:hAnsiTheme="majorBidi" w:cstheme="majorBidi"/>
          <w:color w:val="000000" w:themeColor="text1"/>
          <w:kern w:val="2"/>
          <w:sz w:val="24"/>
          <w:szCs w:val="24"/>
          <w14:textFill>
            <w14:solidFill>
              <w14:schemeClr w14:val="tx1"/>
            </w14:solidFill>
          </w14:textFill>
        </w:rPr>
        <w:t>Thiboutot</w:t>
      </w:r>
      <w:r>
        <w:rPr>
          <w:rFonts w:asciiTheme="majorBidi" w:hAnsiTheme="majorBidi" w:cstheme="majorBidi"/>
          <w:color w:val="000000" w:themeColor="text1"/>
          <w:kern w:val="2"/>
          <w:sz w:val="24"/>
          <w:szCs w:val="24"/>
          <w14:textFill>
            <w14:solidFill>
              <w14:schemeClr w14:val="tx1"/>
            </w14:solidFill>
          </w14:textFill>
        </w:rPr>
        <w:t xml:space="preserve"> D. Hormonal therapy for acne. , 27, 3. 2008 Sep 1;27[3]:188-96.</w:t>
      </w:r>
    </w:p>
    <w:p w14:paraId="2A3E0286">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Gieler</w:t>
      </w:r>
      <w:r>
        <w:rPr>
          <w:rFonts w:asciiTheme="majorBidi" w:hAnsiTheme="majorBidi" w:cstheme="majorBidi"/>
          <w:color w:val="000000" w:themeColor="text1"/>
          <w:kern w:val="2"/>
          <w:sz w:val="24"/>
          <w:szCs w:val="24"/>
          <w14:textFill>
            <w14:solidFill>
              <w14:schemeClr w14:val="tx1"/>
            </w14:solidFill>
          </w14:textFill>
        </w:rPr>
        <w:t xml:space="preserve"> U, </w:t>
      </w:r>
      <w:r>
        <w:rPr>
          <w:rFonts w:asciiTheme="majorBidi" w:hAnsiTheme="majorBidi" w:cstheme="majorBidi"/>
          <w:color w:val="000000" w:themeColor="text1"/>
          <w:kern w:val="2"/>
          <w:sz w:val="24"/>
          <w:szCs w:val="24"/>
          <w14:textFill>
            <w14:solidFill>
              <w14:schemeClr w14:val="tx1"/>
            </w14:solidFill>
          </w14:textFill>
        </w:rPr>
        <w:t>Gieler</w:t>
      </w:r>
      <w:r>
        <w:rPr>
          <w:rFonts w:asciiTheme="majorBidi" w:hAnsiTheme="majorBidi" w:cstheme="majorBidi"/>
          <w:color w:val="000000" w:themeColor="text1"/>
          <w:kern w:val="2"/>
          <w:sz w:val="24"/>
          <w:szCs w:val="24"/>
          <w14:textFill>
            <w14:solidFill>
              <w14:schemeClr w14:val="tx1"/>
            </w14:solidFill>
          </w14:textFill>
        </w:rPr>
        <w:t xml:space="preserve"> T, </w:t>
      </w:r>
      <w:r>
        <w:rPr>
          <w:rFonts w:asciiTheme="majorBidi" w:hAnsiTheme="majorBidi" w:cstheme="majorBidi"/>
          <w:color w:val="000000" w:themeColor="text1"/>
          <w:kern w:val="2"/>
          <w:sz w:val="24"/>
          <w:szCs w:val="24"/>
          <w14:textFill>
            <w14:solidFill>
              <w14:schemeClr w14:val="tx1"/>
            </w14:solidFill>
          </w14:textFill>
        </w:rPr>
        <w:t>Kupfer</w:t>
      </w:r>
      <w:r>
        <w:rPr>
          <w:rFonts w:asciiTheme="majorBidi" w:hAnsiTheme="majorBidi" w:cstheme="majorBidi"/>
          <w:color w:val="000000" w:themeColor="text1"/>
          <w:kern w:val="2"/>
          <w:sz w:val="24"/>
          <w:szCs w:val="24"/>
          <w14:textFill>
            <w14:solidFill>
              <w14:schemeClr w14:val="tx1"/>
            </w14:solidFill>
          </w14:textFill>
        </w:rPr>
        <w:t xml:space="preserve"> JP. Acne and quality of life–impact and management. Journal of the European Academy of Dermatology and Venereology. 2015 Jun;29:12-4.</w:t>
      </w:r>
    </w:p>
    <w:p w14:paraId="09C047ED">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Guguluș</w:t>
      </w:r>
      <w:r>
        <w:rPr>
          <w:rFonts w:asciiTheme="majorBidi" w:hAnsiTheme="majorBidi" w:cstheme="majorBidi"/>
          <w:color w:val="000000" w:themeColor="text1"/>
          <w:kern w:val="2"/>
          <w:sz w:val="24"/>
          <w:szCs w:val="24"/>
          <w14:textFill>
            <w14:solidFill>
              <w14:schemeClr w14:val="tx1"/>
            </w14:solidFill>
          </w14:textFill>
        </w:rPr>
        <w:t xml:space="preserve"> DL, </w:t>
      </w:r>
      <w:r>
        <w:rPr>
          <w:rFonts w:asciiTheme="majorBidi" w:hAnsiTheme="majorBidi" w:cstheme="majorBidi"/>
          <w:color w:val="000000" w:themeColor="text1"/>
          <w:kern w:val="2"/>
          <w:sz w:val="24"/>
          <w:szCs w:val="24"/>
          <w14:textFill>
            <w14:solidFill>
              <w14:schemeClr w14:val="tx1"/>
            </w14:solidFill>
          </w14:textFill>
        </w:rPr>
        <w:t>V</w:t>
      </w:r>
      <w:r>
        <w:rPr>
          <w:rFonts w:hint="eastAsia" w:eastAsia="SimSun" w:asciiTheme="majorBidi" w:hAnsiTheme="majorBidi" w:cstheme="majorBidi"/>
          <w:color w:val="000000" w:themeColor="text1"/>
          <w:kern w:val="2"/>
          <w:sz w:val="24"/>
          <w:szCs w:val="24"/>
          <w14:textFill>
            <w14:solidFill>
              <w14:schemeClr w14:val="tx1"/>
            </w14:solidFill>
          </w14:textFill>
        </w:rPr>
        <w:t>â</w:t>
      </w:r>
      <w:r>
        <w:rPr>
          <w:rFonts w:asciiTheme="majorBidi" w:hAnsiTheme="majorBidi" w:cstheme="majorBidi"/>
          <w:color w:val="000000" w:themeColor="text1"/>
          <w:kern w:val="2"/>
          <w:sz w:val="24"/>
          <w:szCs w:val="24"/>
          <w14:textFill>
            <w14:solidFill>
              <w14:schemeClr w14:val="tx1"/>
            </w14:solidFill>
          </w14:textFill>
        </w:rPr>
        <w:t>ță</w:t>
      </w:r>
      <w:r>
        <w:rPr>
          <w:rFonts w:asciiTheme="majorBidi" w:hAnsiTheme="majorBidi" w:cstheme="majorBidi"/>
          <w:color w:val="000000" w:themeColor="text1"/>
          <w:kern w:val="2"/>
          <w:sz w:val="24"/>
          <w:szCs w:val="24"/>
          <w14:textFill>
            <w14:solidFill>
              <w14:schemeClr w14:val="tx1"/>
            </w14:solidFill>
          </w14:textFill>
        </w:rPr>
        <w:t xml:space="preserve"> D, </w:t>
      </w:r>
      <w:r>
        <w:rPr>
          <w:rFonts w:asciiTheme="majorBidi" w:hAnsiTheme="majorBidi" w:cstheme="majorBidi"/>
          <w:color w:val="000000" w:themeColor="text1"/>
          <w:kern w:val="2"/>
          <w:sz w:val="24"/>
          <w:szCs w:val="24"/>
          <w14:textFill>
            <w14:solidFill>
              <w14:schemeClr w14:val="tx1"/>
            </w14:solidFill>
          </w14:textFill>
        </w:rPr>
        <w:t>Popescu</w:t>
      </w:r>
      <w:r>
        <w:rPr>
          <w:rFonts w:asciiTheme="majorBidi" w:hAnsiTheme="majorBidi" w:cstheme="majorBidi"/>
          <w:color w:val="000000" w:themeColor="text1"/>
          <w:kern w:val="2"/>
          <w:sz w:val="24"/>
          <w:szCs w:val="24"/>
          <w14:textFill>
            <w14:solidFill>
              <w14:schemeClr w14:val="tx1"/>
            </w14:solidFill>
          </w14:textFill>
        </w:rPr>
        <w:t xml:space="preserve"> IA, </w:t>
      </w:r>
      <w:r>
        <w:rPr>
          <w:rFonts w:asciiTheme="majorBidi" w:hAnsiTheme="majorBidi" w:cstheme="majorBidi"/>
          <w:color w:val="000000" w:themeColor="text1"/>
          <w:kern w:val="2"/>
          <w:sz w:val="24"/>
          <w:szCs w:val="24"/>
          <w14:textFill>
            <w14:solidFill>
              <w14:schemeClr w14:val="tx1"/>
            </w14:solidFill>
          </w14:textFill>
        </w:rPr>
        <w:t>P</w:t>
      </w:r>
      <w:r>
        <w:rPr>
          <w:rFonts w:hint="eastAsia" w:eastAsia="MS Gothic" w:asciiTheme="majorBidi" w:hAnsiTheme="majorBidi" w:cstheme="majorBidi"/>
          <w:color w:val="000000" w:themeColor="text1"/>
          <w:kern w:val="2"/>
          <w:sz w:val="24"/>
          <w:szCs w:val="24"/>
          <w14:textFill>
            <w14:solidFill>
              <w14:schemeClr w14:val="tx1"/>
            </w14:solidFill>
          </w14:textFill>
        </w:rPr>
        <w:t>ă</w:t>
      </w:r>
      <w:r>
        <w:rPr>
          <w:rFonts w:asciiTheme="majorBidi" w:hAnsiTheme="majorBidi" w:cstheme="majorBidi"/>
          <w:color w:val="000000" w:themeColor="text1"/>
          <w:kern w:val="2"/>
          <w:sz w:val="24"/>
          <w:szCs w:val="24"/>
          <w14:textFill>
            <w14:solidFill>
              <w14:schemeClr w14:val="tx1"/>
            </w14:solidFill>
          </w14:textFill>
        </w:rPr>
        <w:t>trașcu</w:t>
      </w:r>
      <w:r>
        <w:rPr>
          <w:rFonts w:asciiTheme="majorBidi" w:hAnsiTheme="majorBidi" w:cstheme="majorBidi"/>
          <w:color w:val="000000" w:themeColor="text1"/>
          <w:kern w:val="2"/>
          <w:sz w:val="24"/>
          <w:szCs w:val="24"/>
          <w14:textFill>
            <w14:solidFill>
              <w14:schemeClr w14:val="tx1"/>
            </w14:solidFill>
          </w14:textFill>
        </w:rPr>
        <w:t xml:space="preserve"> AI, </w:t>
      </w:r>
      <w:r>
        <w:rPr>
          <w:rFonts w:asciiTheme="majorBidi" w:hAnsiTheme="majorBidi" w:cstheme="majorBidi"/>
          <w:color w:val="000000" w:themeColor="text1"/>
          <w:kern w:val="2"/>
          <w:sz w:val="24"/>
          <w:szCs w:val="24"/>
          <w14:textFill>
            <w14:solidFill>
              <w14:schemeClr w14:val="tx1"/>
            </w14:solidFill>
          </w14:textFill>
        </w:rPr>
        <w:t>Halip</w:t>
      </w:r>
      <w:r>
        <w:rPr>
          <w:rFonts w:asciiTheme="majorBidi" w:hAnsiTheme="majorBidi" w:cstheme="majorBidi"/>
          <w:color w:val="000000" w:themeColor="text1"/>
          <w:kern w:val="2"/>
          <w:sz w:val="24"/>
          <w:szCs w:val="24"/>
          <w14:textFill>
            <w14:solidFill>
              <w14:schemeClr w14:val="tx1"/>
            </w14:solidFill>
          </w14:textFill>
        </w:rPr>
        <w:t xml:space="preserve"> IA, et al. The epidemiology of acne in the current era: trends and clinical implications. Cosmetics. 2025; 12(3): 106.</w:t>
      </w:r>
    </w:p>
    <w:p w14:paraId="317B8159">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Hexsel</w:t>
      </w:r>
      <w:r>
        <w:rPr>
          <w:rFonts w:asciiTheme="majorBidi" w:hAnsiTheme="majorBidi" w:cstheme="majorBidi"/>
          <w:color w:val="000000" w:themeColor="text1"/>
          <w:kern w:val="2"/>
          <w:sz w:val="24"/>
          <w:szCs w:val="24"/>
          <w14:textFill>
            <w14:solidFill>
              <w14:schemeClr w14:val="tx1"/>
            </w14:solidFill>
          </w14:textFill>
        </w:rPr>
        <w:t xml:space="preserve">, D., &amp; </w:t>
      </w:r>
      <w:r>
        <w:rPr>
          <w:rFonts w:asciiTheme="majorBidi" w:hAnsiTheme="majorBidi" w:cstheme="majorBidi"/>
          <w:color w:val="000000" w:themeColor="text1"/>
          <w:kern w:val="2"/>
          <w:sz w:val="24"/>
          <w:szCs w:val="24"/>
          <w14:textFill>
            <w14:solidFill>
              <w14:schemeClr w14:val="tx1"/>
            </w14:solidFill>
          </w14:textFill>
        </w:rPr>
        <w:t>Camozzato</w:t>
      </w:r>
      <w:r>
        <w:rPr>
          <w:rFonts w:asciiTheme="majorBidi" w:hAnsiTheme="majorBidi" w:cstheme="majorBidi"/>
          <w:color w:val="000000" w:themeColor="text1"/>
          <w:kern w:val="2"/>
          <w:sz w:val="24"/>
          <w:szCs w:val="24"/>
          <w14:textFill>
            <w14:solidFill>
              <w14:schemeClr w14:val="tx1"/>
            </w14:solidFill>
          </w14:textFill>
        </w:rPr>
        <w:t xml:space="preserve">, F. O. Hyperhidrosis. In Dermatology in public health environments: a comprehensive textbook. 2023; 1839-1856. </w:t>
      </w:r>
    </w:p>
    <w:p w14:paraId="25DAA5C9">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Huang YC, Yang CH, Li TT, </w:t>
      </w:r>
      <w:r>
        <w:rPr>
          <w:rFonts w:asciiTheme="majorBidi" w:hAnsiTheme="majorBidi" w:cstheme="majorBidi"/>
          <w:color w:val="000000" w:themeColor="text1"/>
          <w:kern w:val="2"/>
          <w:sz w:val="24"/>
          <w:szCs w:val="24"/>
          <w14:textFill>
            <w14:solidFill>
              <w14:schemeClr w14:val="tx1"/>
            </w14:solidFill>
          </w14:textFill>
        </w:rPr>
        <w:t>Zouboulis</w:t>
      </w:r>
      <w:r>
        <w:rPr>
          <w:rFonts w:asciiTheme="majorBidi" w:hAnsiTheme="majorBidi" w:cstheme="majorBidi"/>
          <w:color w:val="000000" w:themeColor="text1"/>
          <w:kern w:val="2"/>
          <w:sz w:val="24"/>
          <w:szCs w:val="24"/>
          <w14:textFill>
            <w14:solidFill>
              <w14:schemeClr w14:val="tx1"/>
            </w14:solidFill>
          </w14:textFill>
        </w:rPr>
        <w:t xml:space="preserve"> CC, Hsu HC. Cell-free extracts of Propionibacterium acnes stimulate cytokine production through activation of p38 MAPK and Toll-like receptor in SZ95 </w:t>
      </w:r>
      <w:r>
        <w:rPr>
          <w:rFonts w:asciiTheme="majorBidi" w:hAnsiTheme="majorBidi" w:cstheme="majorBidi"/>
          <w:color w:val="000000" w:themeColor="text1"/>
          <w:kern w:val="2"/>
          <w:sz w:val="24"/>
          <w:szCs w:val="24"/>
          <w14:textFill>
            <w14:solidFill>
              <w14:schemeClr w14:val="tx1"/>
            </w14:solidFill>
          </w14:textFill>
        </w:rPr>
        <w:t>sebocytes</w:t>
      </w:r>
      <w:r>
        <w:rPr>
          <w:rFonts w:asciiTheme="majorBidi" w:hAnsiTheme="majorBidi" w:cstheme="majorBidi"/>
          <w:color w:val="000000" w:themeColor="text1"/>
          <w:kern w:val="2"/>
          <w:sz w:val="24"/>
          <w:szCs w:val="24"/>
          <w14:textFill>
            <w14:solidFill>
              <w14:schemeClr w14:val="tx1"/>
            </w14:solidFill>
          </w14:textFill>
        </w:rPr>
        <w:t>. Life sciences. 2015 Oct 15;139:123-31.</w:t>
      </w:r>
    </w:p>
    <w:p w14:paraId="0D4560E7">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Jahns</w:t>
      </w:r>
      <w:r>
        <w:rPr>
          <w:rFonts w:asciiTheme="majorBidi" w:hAnsiTheme="majorBidi" w:cstheme="majorBidi"/>
          <w:color w:val="000000" w:themeColor="text1"/>
          <w:kern w:val="2"/>
          <w:sz w:val="24"/>
          <w:szCs w:val="24"/>
          <w14:textFill>
            <w14:solidFill>
              <w14:schemeClr w14:val="tx1"/>
            </w14:solidFill>
          </w14:textFill>
        </w:rPr>
        <w:t xml:space="preserve"> AC, </w:t>
      </w:r>
      <w:r>
        <w:rPr>
          <w:rFonts w:asciiTheme="majorBidi" w:hAnsiTheme="majorBidi" w:cstheme="majorBidi"/>
          <w:color w:val="000000" w:themeColor="text1"/>
          <w:kern w:val="2"/>
          <w:sz w:val="24"/>
          <w:szCs w:val="24"/>
          <w14:textFill>
            <w14:solidFill>
              <w14:schemeClr w14:val="tx1"/>
            </w14:solidFill>
          </w14:textFill>
        </w:rPr>
        <w:t>Eilers</w:t>
      </w:r>
      <w:r>
        <w:rPr>
          <w:rFonts w:asciiTheme="majorBidi" w:hAnsiTheme="majorBidi" w:cstheme="majorBidi"/>
          <w:color w:val="000000" w:themeColor="text1"/>
          <w:kern w:val="2"/>
          <w:sz w:val="24"/>
          <w:szCs w:val="24"/>
          <w14:textFill>
            <w14:solidFill>
              <w14:schemeClr w14:val="tx1"/>
            </w14:solidFill>
          </w14:textFill>
        </w:rPr>
        <w:t xml:space="preserve"> H, </w:t>
      </w:r>
      <w:r>
        <w:rPr>
          <w:rFonts w:asciiTheme="majorBidi" w:hAnsiTheme="majorBidi" w:cstheme="majorBidi"/>
          <w:color w:val="000000" w:themeColor="text1"/>
          <w:kern w:val="2"/>
          <w:sz w:val="24"/>
          <w:szCs w:val="24"/>
          <w14:textFill>
            <w14:solidFill>
              <w14:schemeClr w14:val="tx1"/>
            </w14:solidFill>
          </w14:textFill>
        </w:rPr>
        <w:t>Alexeyev</w:t>
      </w:r>
      <w:r>
        <w:rPr>
          <w:rFonts w:asciiTheme="majorBidi" w:hAnsiTheme="majorBidi" w:cstheme="majorBidi"/>
          <w:color w:val="000000" w:themeColor="text1"/>
          <w:kern w:val="2"/>
          <w:sz w:val="24"/>
          <w:szCs w:val="24"/>
          <w14:textFill>
            <w14:solidFill>
              <w14:schemeClr w14:val="tx1"/>
            </w14:solidFill>
          </w14:textFill>
        </w:rPr>
        <w:t xml:space="preserve"> OA. Transcriptomic analysis of </w:t>
      </w:r>
      <w:r>
        <w:rPr>
          <w:rFonts w:asciiTheme="majorBidi" w:hAnsiTheme="majorBidi" w:cstheme="majorBidi"/>
          <w:color w:val="000000" w:themeColor="text1"/>
          <w:kern w:val="2"/>
          <w:sz w:val="24"/>
          <w:szCs w:val="24"/>
          <w14:textFill>
            <w14:solidFill>
              <w14:schemeClr w14:val="tx1"/>
            </w14:solidFill>
          </w14:textFill>
        </w:rPr>
        <w:t>Propionibacterium acnes biofilms in vitro. Anaerobe. 2016 Dec 1;42:111-8.</w:t>
      </w:r>
    </w:p>
    <w:p w14:paraId="5888ECA7">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Jetten</w:t>
      </w:r>
      <w:r>
        <w:rPr>
          <w:rFonts w:asciiTheme="majorBidi" w:hAnsiTheme="majorBidi" w:cstheme="majorBidi"/>
          <w:color w:val="000000" w:themeColor="text1"/>
          <w:kern w:val="2"/>
          <w:sz w:val="24"/>
          <w:szCs w:val="24"/>
          <w14:textFill>
            <w14:solidFill>
              <w14:schemeClr w14:val="tx1"/>
            </w14:solidFill>
          </w14:textFill>
        </w:rPr>
        <w:t xml:space="preserve"> AM, Beak JY, </w:t>
      </w:r>
      <w:r>
        <w:rPr>
          <w:rFonts w:asciiTheme="majorBidi" w:hAnsiTheme="majorBidi" w:cstheme="majorBidi"/>
          <w:color w:val="000000" w:themeColor="text1"/>
          <w:kern w:val="2"/>
          <w:sz w:val="24"/>
          <w:szCs w:val="24"/>
          <w14:textFill>
            <w14:solidFill>
              <w14:schemeClr w14:val="tx1"/>
            </w14:solidFill>
          </w14:textFill>
        </w:rPr>
        <w:t>Slominski</w:t>
      </w:r>
      <w:r>
        <w:rPr>
          <w:rFonts w:asciiTheme="majorBidi" w:hAnsiTheme="majorBidi" w:cstheme="majorBidi"/>
          <w:color w:val="000000" w:themeColor="text1"/>
          <w:kern w:val="2"/>
          <w:sz w:val="24"/>
          <w:szCs w:val="24"/>
          <w14:textFill>
            <w14:solidFill>
              <w14:schemeClr w14:val="tx1"/>
            </w14:solidFill>
          </w14:textFill>
        </w:rPr>
        <w:t xml:space="preserve"> AT, Jensen B. Retinoic acid-related orphan receptor [</w:t>
      </w:r>
      <w:r>
        <w:rPr>
          <w:rFonts w:asciiTheme="majorBidi" w:hAnsiTheme="majorBidi" w:cstheme="majorBidi"/>
          <w:color w:val="000000" w:themeColor="text1"/>
          <w:kern w:val="2"/>
          <w:sz w:val="24"/>
          <w:szCs w:val="24"/>
          <w14:textFill>
            <w14:solidFill>
              <w14:schemeClr w14:val="tx1"/>
            </w14:solidFill>
          </w14:textFill>
        </w:rPr>
        <w:t>ror</w:t>
      </w:r>
      <w:r>
        <w:rPr>
          <w:rFonts w:asciiTheme="majorBidi" w:hAnsiTheme="majorBidi" w:cstheme="majorBidi"/>
          <w:color w:val="000000" w:themeColor="text1"/>
          <w:kern w:val="2"/>
          <w:sz w:val="24"/>
          <w:szCs w:val="24"/>
          <w14:textFill>
            <w14:solidFill>
              <w14:schemeClr w14:val="tx1"/>
            </w14:solidFill>
          </w14:textFill>
        </w:rPr>
        <w:t xml:space="preserve">] inverse agonists: Potential therapeutic strategies for multiple inflammatory diseases?. </w:t>
      </w:r>
      <w:r>
        <w:rPr>
          <w:rFonts w:asciiTheme="majorBidi" w:hAnsiTheme="majorBidi" w:cstheme="majorBidi"/>
          <w:color w:val="000000" w:themeColor="text1"/>
          <w:kern w:val="2"/>
          <w:sz w:val="24"/>
          <w:szCs w:val="24"/>
          <w14:textFill>
            <w14:solidFill>
              <w14:schemeClr w14:val="tx1"/>
            </w14:solidFill>
          </w14:textFill>
        </w:rPr>
        <w:t>InNuclear</w:t>
      </w:r>
      <w:r>
        <w:rPr>
          <w:rFonts w:asciiTheme="majorBidi" w:hAnsiTheme="majorBidi" w:cstheme="majorBidi"/>
          <w:color w:val="000000" w:themeColor="text1"/>
          <w:kern w:val="2"/>
          <w:sz w:val="24"/>
          <w:szCs w:val="24"/>
          <w14:textFill>
            <w14:solidFill>
              <w14:schemeClr w14:val="tx1"/>
            </w14:solidFill>
          </w14:textFill>
        </w:rPr>
        <w:t xml:space="preserve"> Receptors: The Art and Science of Modulator Design and Discovery 2021 Sep 29 [pp. 349-377]. Cham: Springer International Publishing.</w:t>
      </w:r>
    </w:p>
    <w:p w14:paraId="2304634B">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Jiang P, Zheng C, Xiang Y, Malik S, Su D, Xu G, Zhang M. The involvement of TH17 cells in the pathogenesis of IBD. Cytokine &amp; growth factor reviews. 2023 Feb 1;69:28-42.</w:t>
      </w:r>
    </w:p>
    <w:p w14:paraId="452D2EAC">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Katsambas</w:t>
      </w:r>
      <w:r>
        <w:rPr>
          <w:rFonts w:asciiTheme="majorBidi" w:hAnsiTheme="majorBidi" w:cstheme="majorBidi"/>
          <w:color w:val="000000" w:themeColor="text1"/>
          <w:kern w:val="2"/>
          <w:sz w:val="24"/>
          <w:szCs w:val="24"/>
          <w14:textFill>
            <w14:solidFill>
              <w14:schemeClr w14:val="tx1"/>
            </w14:solidFill>
          </w14:textFill>
        </w:rPr>
        <w:t xml:space="preserve"> AD, </w:t>
      </w:r>
      <w:r>
        <w:rPr>
          <w:rFonts w:asciiTheme="majorBidi" w:hAnsiTheme="majorBidi" w:cstheme="majorBidi"/>
          <w:color w:val="000000" w:themeColor="text1"/>
          <w:kern w:val="2"/>
          <w:sz w:val="24"/>
          <w:szCs w:val="24"/>
          <w14:textFill>
            <w14:solidFill>
              <w14:schemeClr w14:val="tx1"/>
            </w14:solidFill>
          </w14:textFill>
        </w:rPr>
        <w:t>Cunliffe</w:t>
      </w:r>
      <w:r>
        <w:rPr>
          <w:rFonts w:asciiTheme="majorBidi" w:hAnsiTheme="majorBidi" w:cstheme="majorBidi"/>
          <w:color w:val="000000" w:themeColor="text1"/>
          <w:kern w:val="2"/>
          <w:sz w:val="24"/>
          <w:szCs w:val="24"/>
          <w14:textFill>
            <w14:solidFill>
              <w14:schemeClr w14:val="tx1"/>
            </w14:solidFill>
          </w14:textFill>
        </w:rPr>
        <w:t xml:space="preserve"> WJ, </w:t>
      </w:r>
      <w:r>
        <w:rPr>
          <w:rFonts w:asciiTheme="majorBidi" w:hAnsiTheme="majorBidi" w:cstheme="majorBidi"/>
          <w:color w:val="000000" w:themeColor="text1"/>
          <w:kern w:val="2"/>
          <w:sz w:val="24"/>
          <w:szCs w:val="24"/>
          <w14:textFill>
            <w14:solidFill>
              <w14:schemeClr w14:val="tx1"/>
            </w14:solidFill>
          </w14:textFill>
        </w:rPr>
        <w:t>Zouboulis</w:t>
      </w:r>
      <w:r>
        <w:rPr>
          <w:rFonts w:asciiTheme="majorBidi" w:hAnsiTheme="majorBidi" w:cstheme="majorBidi"/>
          <w:color w:val="000000" w:themeColor="text1"/>
          <w:kern w:val="2"/>
          <w:sz w:val="24"/>
          <w:szCs w:val="24"/>
          <w14:textFill>
            <w14:solidFill>
              <w14:schemeClr w14:val="tx1"/>
            </w14:solidFill>
          </w14:textFill>
        </w:rPr>
        <w:t xml:space="preserve"> CC. Clinical aspects of acne vulgaris. </w:t>
      </w:r>
      <w:r>
        <w:rPr>
          <w:rFonts w:asciiTheme="majorBidi" w:hAnsiTheme="majorBidi" w:cstheme="majorBidi"/>
          <w:color w:val="000000" w:themeColor="text1"/>
          <w:kern w:val="2"/>
          <w:sz w:val="24"/>
          <w:szCs w:val="24"/>
          <w14:textFill>
            <w14:solidFill>
              <w14:schemeClr w14:val="tx1"/>
            </w14:solidFill>
          </w14:textFill>
        </w:rPr>
        <w:t>InPathogenesis</w:t>
      </w:r>
      <w:r>
        <w:rPr>
          <w:rFonts w:asciiTheme="majorBidi" w:hAnsiTheme="majorBidi" w:cstheme="majorBidi"/>
          <w:color w:val="000000" w:themeColor="text1"/>
          <w:kern w:val="2"/>
          <w:sz w:val="24"/>
          <w:szCs w:val="24"/>
          <w14:textFill>
            <w14:solidFill>
              <w14:schemeClr w14:val="tx1"/>
            </w14:solidFill>
          </w14:textFill>
        </w:rPr>
        <w:t xml:space="preserve"> and treatment of acne and rosacea 2014 [pp. 213-221]. Berlin, Heidelberg: Springer Berlin Heidelberg.</w:t>
      </w:r>
    </w:p>
    <w:p w14:paraId="58068BDE">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Kim W, Mancini AJ. Acne in childhood: an update. Pediatric annals. 2013 Oct 1;42[10]:418-27.</w:t>
      </w:r>
    </w:p>
    <w:p w14:paraId="26014DFD">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Laureano</w:t>
      </w:r>
      <w:r>
        <w:rPr>
          <w:rFonts w:asciiTheme="majorBidi" w:hAnsiTheme="majorBidi" w:cstheme="majorBidi"/>
          <w:color w:val="000000" w:themeColor="text1"/>
          <w:kern w:val="2"/>
          <w:sz w:val="24"/>
          <w:szCs w:val="24"/>
          <w14:textFill>
            <w14:solidFill>
              <w14:schemeClr w14:val="tx1"/>
            </w14:solidFill>
          </w14:textFill>
        </w:rPr>
        <w:t xml:space="preserve"> AC, Schwartz RA, Cohen PJ. Facial bacterial infections: folliculitis. Clinics in dermatology. 2014 Nov 1;32[6]:711-4.</w:t>
      </w:r>
    </w:p>
    <w:p w14:paraId="264B6BF8">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Layton AM., </w:t>
      </w:r>
      <w:r>
        <w:rPr>
          <w:rFonts w:asciiTheme="majorBidi" w:hAnsiTheme="majorBidi" w:cstheme="majorBidi"/>
          <w:color w:val="000000" w:themeColor="text1"/>
          <w:kern w:val="2"/>
          <w:sz w:val="24"/>
          <w:szCs w:val="24"/>
          <w14:textFill>
            <w14:solidFill>
              <w14:schemeClr w14:val="tx1"/>
            </w14:solidFill>
          </w14:textFill>
        </w:rPr>
        <w:t>Thiboutot</w:t>
      </w:r>
      <w:r>
        <w:rPr>
          <w:rFonts w:asciiTheme="majorBidi" w:hAnsiTheme="majorBidi" w:cstheme="majorBidi"/>
          <w:color w:val="000000" w:themeColor="text1"/>
          <w:kern w:val="2"/>
          <w:sz w:val="24"/>
          <w:szCs w:val="24"/>
          <w14:textFill>
            <w14:solidFill>
              <w14:schemeClr w14:val="tx1"/>
            </w14:solidFill>
          </w14:textFill>
        </w:rPr>
        <w:t xml:space="preserve"> D, &amp; Tan J. Reviewing the global burden of acne: how could we improve care to reduce the burden?. British Journal of Dermatology. 2021; 184(2): 219-225</w:t>
      </w:r>
      <w:r>
        <w:rPr>
          <w:rFonts w:cs="Times New Roman" w:asciiTheme="majorBidi" w:hAnsiTheme="majorBidi"/>
          <w:color w:val="000000" w:themeColor="text1"/>
          <w:kern w:val="2"/>
          <w:sz w:val="24"/>
          <w:szCs w:val="24"/>
          <w14:textFill>
            <w14:solidFill>
              <w14:schemeClr w14:val="tx1"/>
            </w14:solidFill>
          </w14:textFill>
        </w:rPr>
        <w:t>‏</w:t>
      </w:r>
      <w:r>
        <w:rPr>
          <w:rFonts w:asciiTheme="majorBidi" w:hAnsiTheme="majorBidi" w:cstheme="majorBidi"/>
          <w:color w:val="000000" w:themeColor="text1"/>
          <w:kern w:val="2"/>
          <w:sz w:val="24"/>
          <w:szCs w:val="24"/>
          <w14:textFill>
            <w14:solidFill>
              <w14:schemeClr w14:val="tx1"/>
            </w14:solidFill>
          </w14:textFill>
        </w:rPr>
        <w:t>.</w:t>
      </w:r>
    </w:p>
    <w:p w14:paraId="253EA8CA">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Ma H, Kang J, Fan W, He H, Huang F. ROR: nuclear receptor for  melatonin or not?. Molecules. 2021 May 4;26[9]:2693.</w:t>
      </w:r>
    </w:p>
    <w:p w14:paraId="1BCD9ABE">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Mayslich</w:t>
      </w:r>
      <w:r>
        <w:rPr>
          <w:rFonts w:asciiTheme="majorBidi" w:hAnsiTheme="majorBidi" w:cstheme="majorBidi"/>
          <w:color w:val="000000" w:themeColor="text1"/>
          <w:kern w:val="2"/>
          <w:sz w:val="24"/>
          <w:szCs w:val="24"/>
          <w14:textFill>
            <w14:solidFill>
              <w14:schemeClr w14:val="tx1"/>
            </w14:solidFill>
          </w14:textFill>
        </w:rPr>
        <w:t xml:space="preserve"> C, Grange PA, </w:t>
      </w:r>
      <w:r>
        <w:rPr>
          <w:rFonts w:asciiTheme="majorBidi" w:hAnsiTheme="majorBidi" w:cstheme="majorBidi"/>
          <w:color w:val="000000" w:themeColor="text1"/>
          <w:kern w:val="2"/>
          <w:sz w:val="24"/>
          <w:szCs w:val="24"/>
          <w14:textFill>
            <w14:solidFill>
              <w14:schemeClr w14:val="tx1"/>
            </w14:solidFill>
          </w14:textFill>
        </w:rPr>
        <w:t>Dupin</w:t>
      </w:r>
      <w:r>
        <w:rPr>
          <w:rFonts w:asciiTheme="majorBidi" w:hAnsiTheme="majorBidi" w:cstheme="majorBidi"/>
          <w:color w:val="000000" w:themeColor="text1"/>
          <w:kern w:val="2"/>
          <w:sz w:val="24"/>
          <w:szCs w:val="24"/>
          <w14:textFill>
            <w14:solidFill>
              <w14:schemeClr w14:val="tx1"/>
            </w14:solidFill>
          </w14:textFill>
        </w:rPr>
        <w:t xml:space="preserve"> N. </w:t>
      </w:r>
      <w:r>
        <w:rPr>
          <w:rFonts w:asciiTheme="majorBidi" w:hAnsiTheme="majorBidi" w:cstheme="majorBidi"/>
          <w:color w:val="000000" w:themeColor="text1"/>
          <w:kern w:val="2"/>
          <w:sz w:val="24"/>
          <w:szCs w:val="24"/>
          <w14:textFill>
            <w14:solidFill>
              <w14:schemeClr w14:val="tx1"/>
            </w14:solidFill>
          </w14:textFill>
        </w:rPr>
        <w:t>Cutibacterium</w:t>
      </w:r>
      <w:r>
        <w:rPr>
          <w:rFonts w:asciiTheme="majorBidi" w:hAnsiTheme="majorBidi" w:cstheme="majorBidi"/>
          <w:color w:val="000000" w:themeColor="text1"/>
          <w:kern w:val="2"/>
          <w:sz w:val="24"/>
          <w:szCs w:val="24"/>
          <w14:textFill>
            <w14:solidFill>
              <w14:schemeClr w14:val="tx1"/>
            </w14:solidFill>
          </w14:textFill>
        </w:rPr>
        <w:t xml:space="preserve"> acnes as an opportunistic pathogen: an update of its virulence-associated </w:t>
      </w:r>
      <w:r>
        <w:rPr>
          <w:rFonts w:asciiTheme="majorBidi" w:hAnsiTheme="majorBidi" w:cstheme="majorBidi"/>
          <w:color w:val="000000" w:themeColor="text1"/>
          <w:kern w:val="2"/>
          <w:sz w:val="24"/>
          <w:szCs w:val="24"/>
          <w14:textFill>
            <w14:solidFill>
              <w14:schemeClr w14:val="tx1"/>
            </w14:solidFill>
          </w14:textFill>
        </w:rPr>
        <w:t>factors. Microorganisms. 2021 Feb 2;9[2]:303.</w:t>
      </w:r>
    </w:p>
    <w:p w14:paraId="58C50532">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Mikhael</w:t>
      </w:r>
      <w:r>
        <w:rPr>
          <w:rFonts w:asciiTheme="majorBidi" w:hAnsiTheme="majorBidi" w:cstheme="majorBidi"/>
          <w:color w:val="000000" w:themeColor="text1"/>
          <w:kern w:val="2"/>
          <w:sz w:val="24"/>
          <w:szCs w:val="24"/>
          <w14:textFill>
            <w14:solidFill>
              <w14:schemeClr w14:val="tx1"/>
            </w14:solidFill>
          </w14:textFill>
        </w:rPr>
        <w:t xml:space="preserve"> NW, </w:t>
      </w:r>
      <w:r>
        <w:rPr>
          <w:rFonts w:asciiTheme="majorBidi" w:hAnsiTheme="majorBidi" w:cstheme="majorBidi"/>
          <w:color w:val="000000" w:themeColor="text1"/>
          <w:kern w:val="2"/>
          <w:sz w:val="24"/>
          <w:szCs w:val="24"/>
          <w14:textFill>
            <w14:solidFill>
              <w14:schemeClr w14:val="tx1"/>
            </w14:solidFill>
          </w14:textFill>
        </w:rPr>
        <w:t>Abdelazeem</w:t>
      </w:r>
      <w:r>
        <w:rPr>
          <w:rFonts w:asciiTheme="majorBidi" w:hAnsiTheme="majorBidi" w:cstheme="majorBidi"/>
          <w:color w:val="000000" w:themeColor="text1"/>
          <w:kern w:val="2"/>
          <w:sz w:val="24"/>
          <w:szCs w:val="24"/>
          <w14:textFill>
            <w14:solidFill>
              <w14:schemeClr w14:val="tx1"/>
            </w14:solidFill>
          </w14:textFill>
        </w:rPr>
        <w:t xml:space="preserve"> SE, Mohammed SA, </w:t>
      </w:r>
      <w:r>
        <w:rPr>
          <w:rFonts w:asciiTheme="majorBidi" w:hAnsiTheme="majorBidi" w:cstheme="majorBidi"/>
          <w:color w:val="000000" w:themeColor="text1"/>
          <w:kern w:val="2"/>
          <w:sz w:val="24"/>
          <w:szCs w:val="24"/>
          <w14:textFill>
            <w14:solidFill>
              <w14:schemeClr w14:val="tx1"/>
            </w14:solidFill>
          </w14:textFill>
        </w:rPr>
        <w:t>Elhabak</w:t>
      </w:r>
      <w:r>
        <w:rPr>
          <w:rFonts w:asciiTheme="majorBidi" w:hAnsiTheme="majorBidi" w:cstheme="majorBidi"/>
          <w:color w:val="000000" w:themeColor="text1"/>
          <w:kern w:val="2"/>
          <w:sz w:val="24"/>
          <w:szCs w:val="24"/>
          <w14:textFill>
            <w14:solidFill>
              <w14:schemeClr w14:val="tx1"/>
            </w14:solidFill>
          </w14:textFill>
        </w:rPr>
        <w:t xml:space="preserve"> DM. Retinoid acid-related orphan receptor alpha serum level and gene polymorphism in psoriatic patient. Egyptian Journal of Dermatology and Venerology. 2025 Sep 1;45[3]:283-92. </w:t>
      </w:r>
    </w:p>
    <w:p w14:paraId="172DFF4C">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Mokbel</w:t>
      </w:r>
      <w:r>
        <w:rPr>
          <w:rFonts w:asciiTheme="majorBidi" w:hAnsiTheme="majorBidi" w:cstheme="majorBidi"/>
          <w:color w:val="000000" w:themeColor="text1"/>
          <w:kern w:val="2"/>
          <w:sz w:val="24"/>
          <w:szCs w:val="24"/>
          <w14:textFill>
            <w14:solidFill>
              <w14:schemeClr w14:val="tx1"/>
            </w14:solidFill>
          </w14:textFill>
        </w:rPr>
        <w:t xml:space="preserve"> R, </w:t>
      </w:r>
      <w:r>
        <w:rPr>
          <w:rFonts w:asciiTheme="majorBidi" w:hAnsiTheme="majorBidi" w:cstheme="majorBidi"/>
          <w:color w:val="000000" w:themeColor="text1"/>
          <w:kern w:val="2"/>
          <w:sz w:val="24"/>
          <w:szCs w:val="24"/>
          <w14:textFill>
            <w14:solidFill>
              <w14:schemeClr w14:val="tx1"/>
            </w14:solidFill>
          </w14:textFill>
        </w:rPr>
        <w:t>Kodresko</w:t>
      </w:r>
      <w:r>
        <w:rPr>
          <w:rFonts w:asciiTheme="majorBidi" w:hAnsiTheme="majorBidi" w:cstheme="majorBidi"/>
          <w:color w:val="000000" w:themeColor="text1"/>
          <w:kern w:val="2"/>
          <w:sz w:val="24"/>
          <w:szCs w:val="24"/>
          <w14:textFill>
            <w14:solidFill>
              <w14:schemeClr w14:val="tx1"/>
            </w14:solidFill>
          </w14:textFill>
        </w:rPr>
        <w:t xml:space="preserve"> A, </w:t>
      </w:r>
      <w:r>
        <w:rPr>
          <w:rFonts w:asciiTheme="majorBidi" w:hAnsiTheme="majorBidi" w:cstheme="majorBidi"/>
          <w:color w:val="000000" w:themeColor="text1"/>
          <w:kern w:val="2"/>
          <w:sz w:val="24"/>
          <w:szCs w:val="24"/>
          <w14:textFill>
            <w14:solidFill>
              <w14:schemeClr w14:val="tx1"/>
            </w14:solidFill>
          </w14:textFill>
        </w:rPr>
        <w:t>Mokbel</w:t>
      </w:r>
      <w:r>
        <w:rPr>
          <w:rFonts w:asciiTheme="majorBidi" w:hAnsiTheme="majorBidi" w:cstheme="majorBidi"/>
          <w:color w:val="000000" w:themeColor="text1"/>
          <w:kern w:val="2"/>
          <w:sz w:val="24"/>
          <w:szCs w:val="24"/>
          <w14:textFill>
            <w14:solidFill>
              <w14:schemeClr w14:val="tx1"/>
            </w14:solidFill>
          </w14:textFill>
        </w:rPr>
        <w:t xml:space="preserve"> K,  Ghazal H, Trembley J, &amp; </w:t>
      </w:r>
      <w:r>
        <w:rPr>
          <w:rFonts w:asciiTheme="majorBidi" w:hAnsiTheme="majorBidi" w:cstheme="majorBidi"/>
          <w:color w:val="000000" w:themeColor="text1"/>
          <w:kern w:val="2"/>
          <w:sz w:val="24"/>
          <w:szCs w:val="24"/>
          <w14:textFill>
            <w14:solidFill>
              <w14:schemeClr w14:val="tx1"/>
            </w14:solidFill>
          </w14:textFill>
        </w:rPr>
        <w:t>Jouhara</w:t>
      </w:r>
      <w:r>
        <w:rPr>
          <w:rFonts w:asciiTheme="majorBidi" w:hAnsiTheme="majorBidi" w:cstheme="majorBidi"/>
          <w:color w:val="000000" w:themeColor="text1"/>
          <w:kern w:val="2"/>
          <w:sz w:val="24"/>
          <w:szCs w:val="24"/>
          <w14:textFill>
            <w14:solidFill>
              <w14:schemeClr w14:val="tx1"/>
            </w14:solidFill>
          </w14:textFill>
        </w:rPr>
        <w:t xml:space="preserve"> H. Cutaneous Cryosurgery in Dermatology: Evolving Principles and Clinical Applications for Benign, Premalignant, and Malignant Lesions. In Vivo. 2025;  39(2): 577-612.</w:t>
      </w:r>
    </w:p>
    <w:p w14:paraId="3E467084">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Picardo</w:t>
      </w:r>
      <w:r>
        <w:rPr>
          <w:rFonts w:asciiTheme="majorBidi" w:hAnsiTheme="majorBidi" w:cstheme="majorBidi"/>
          <w:color w:val="000000" w:themeColor="text1"/>
          <w:kern w:val="2"/>
          <w:sz w:val="24"/>
          <w:szCs w:val="24"/>
          <w14:textFill>
            <w14:solidFill>
              <w14:schemeClr w14:val="tx1"/>
            </w14:solidFill>
          </w14:textFill>
        </w:rPr>
        <w:t xml:space="preserve"> M, </w:t>
      </w:r>
      <w:r>
        <w:rPr>
          <w:rFonts w:asciiTheme="majorBidi" w:hAnsiTheme="majorBidi" w:cstheme="majorBidi"/>
          <w:color w:val="000000" w:themeColor="text1"/>
          <w:kern w:val="2"/>
          <w:sz w:val="24"/>
          <w:szCs w:val="24"/>
          <w14:textFill>
            <w14:solidFill>
              <w14:schemeClr w14:val="tx1"/>
            </w14:solidFill>
          </w14:textFill>
        </w:rPr>
        <w:t>Eichenfield</w:t>
      </w:r>
      <w:r>
        <w:rPr>
          <w:rFonts w:asciiTheme="majorBidi" w:hAnsiTheme="majorBidi" w:cstheme="majorBidi"/>
          <w:color w:val="000000" w:themeColor="text1"/>
          <w:kern w:val="2"/>
          <w:sz w:val="24"/>
          <w:szCs w:val="24"/>
          <w14:textFill>
            <w14:solidFill>
              <w14:schemeClr w14:val="tx1"/>
            </w14:solidFill>
          </w14:textFill>
        </w:rPr>
        <w:t xml:space="preserve"> LF, Tan J. Acne and rosacea. Dermatology and therapy. 2017 Jan;7[</w:t>
      </w:r>
      <w:r>
        <w:rPr>
          <w:rFonts w:asciiTheme="majorBidi" w:hAnsiTheme="majorBidi" w:cstheme="majorBidi"/>
          <w:color w:val="000000" w:themeColor="text1"/>
          <w:kern w:val="2"/>
          <w:sz w:val="24"/>
          <w:szCs w:val="24"/>
          <w14:textFill>
            <w14:solidFill>
              <w14:schemeClr w14:val="tx1"/>
            </w14:solidFill>
          </w14:textFill>
        </w:rPr>
        <w:t>Suppl</w:t>
      </w:r>
      <w:r>
        <w:rPr>
          <w:rFonts w:asciiTheme="majorBidi" w:hAnsiTheme="majorBidi" w:cstheme="majorBidi"/>
          <w:color w:val="000000" w:themeColor="text1"/>
          <w:kern w:val="2"/>
          <w:sz w:val="24"/>
          <w:szCs w:val="24"/>
          <w14:textFill>
            <w14:solidFill>
              <w14:schemeClr w14:val="tx1"/>
            </w14:solidFill>
          </w14:textFill>
        </w:rPr>
        <w:t xml:space="preserve"> 1]:43-52.</w:t>
      </w:r>
    </w:p>
    <w:p w14:paraId="468DBC29">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Samycia</w:t>
      </w:r>
      <w:r>
        <w:rPr>
          <w:rFonts w:asciiTheme="majorBidi" w:hAnsiTheme="majorBidi" w:cstheme="majorBidi"/>
          <w:color w:val="000000" w:themeColor="text1"/>
          <w:kern w:val="2"/>
          <w:sz w:val="24"/>
          <w:szCs w:val="24"/>
          <w14:textFill>
            <w14:solidFill>
              <w14:schemeClr w14:val="tx1"/>
            </w14:solidFill>
          </w14:textFill>
        </w:rPr>
        <w:t xml:space="preserve"> M, Lam JM. Infantile acne. CMAJ. 2016 Dec 6;188[17-18]:E540.</w:t>
      </w:r>
    </w:p>
    <w:p w14:paraId="6BECE0E1">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Sardana</w:t>
      </w:r>
      <w:r>
        <w:rPr>
          <w:rFonts w:asciiTheme="majorBidi" w:hAnsiTheme="majorBidi" w:cstheme="majorBidi"/>
          <w:color w:val="000000" w:themeColor="text1"/>
          <w:kern w:val="2"/>
          <w:sz w:val="24"/>
          <w:szCs w:val="24"/>
          <w14:textFill>
            <w14:solidFill>
              <w14:schemeClr w14:val="tx1"/>
            </w14:solidFill>
          </w14:textFill>
        </w:rPr>
        <w:t xml:space="preserve"> K, </w:t>
      </w:r>
      <w:r>
        <w:rPr>
          <w:rFonts w:asciiTheme="majorBidi" w:hAnsiTheme="majorBidi" w:cstheme="majorBidi"/>
          <w:color w:val="000000" w:themeColor="text1"/>
          <w:kern w:val="2"/>
          <w:sz w:val="24"/>
          <w:szCs w:val="24"/>
          <w14:textFill>
            <w14:solidFill>
              <w14:schemeClr w14:val="tx1"/>
            </w14:solidFill>
          </w14:textFill>
        </w:rPr>
        <w:t>Verma</w:t>
      </w:r>
      <w:r>
        <w:rPr>
          <w:rFonts w:asciiTheme="majorBidi" w:hAnsiTheme="majorBidi" w:cstheme="majorBidi"/>
          <w:color w:val="000000" w:themeColor="text1"/>
          <w:kern w:val="2"/>
          <w:sz w:val="24"/>
          <w:szCs w:val="24"/>
          <w14:textFill>
            <w14:solidFill>
              <w14:schemeClr w14:val="tx1"/>
            </w14:solidFill>
          </w14:textFill>
        </w:rPr>
        <w:t xml:space="preserve"> G. Propionibacterium acnes and the Th1/Th17 axis, implications in acne pathogenesis and treatment.</w:t>
      </w:r>
    </w:p>
    <w:p w14:paraId="1C7BD168">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Schinocca</w:t>
      </w:r>
      <w:r>
        <w:rPr>
          <w:rFonts w:asciiTheme="majorBidi" w:hAnsiTheme="majorBidi" w:cstheme="majorBidi"/>
          <w:color w:val="000000" w:themeColor="text1"/>
          <w:kern w:val="2"/>
          <w:sz w:val="24"/>
          <w:szCs w:val="24"/>
          <w14:textFill>
            <w14:solidFill>
              <w14:schemeClr w14:val="tx1"/>
            </w14:solidFill>
          </w14:textFill>
        </w:rPr>
        <w:t xml:space="preserve"> C, Rizzo C, Fasano S, Grasso G, La </w:t>
      </w:r>
      <w:r>
        <w:rPr>
          <w:rFonts w:asciiTheme="majorBidi" w:hAnsiTheme="majorBidi" w:cstheme="majorBidi"/>
          <w:color w:val="000000" w:themeColor="text1"/>
          <w:kern w:val="2"/>
          <w:sz w:val="24"/>
          <w:szCs w:val="24"/>
          <w14:textFill>
            <w14:solidFill>
              <w14:schemeClr w14:val="tx1"/>
            </w14:solidFill>
          </w14:textFill>
        </w:rPr>
        <w:t>Barbera</w:t>
      </w:r>
      <w:r>
        <w:rPr>
          <w:rFonts w:asciiTheme="majorBidi" w:hAnsiTheme="majorBidi" w:cstheme="majorBidi"/>
          <w:color w:val="000000" w:themeColor="text1"/>
          <w:kern w:val="2"/>
          <w:sz w:val="24"/>
          <w:szCs w:val="24"/>
          <w14:textFill>
            <w14:solidFill>
              <w14:schemeClr w14:val="tx1"/>
            </w14:solidFill>
          </w14:textFill>
        </w:rPr>
        <w:t xml:space="preserve"> L, </w:t>
      </w:r>
      <w:r>
        <w:rPr>
          <w:rFonts w:asciiTheme="majorBidi" w:hAnsiTheme="majorBidi" w:cstheme="majorBidi"/>
          <w:color w:val="000000" w:themeColor="text1"/>
          <w:kern w:val="2"/>
          <w:sz w:val="24"/>
          <w:szCs w:val="24"/>
          <w14:textFill>
            <w14:solidFill>
              <w14:schemeClr w14:val="tx1"/>
            </w14:solidFill>
          </w14:textFill>
        </w:rPr>
        <w:t>Ciccia</w:t>
      </w:r>
      <w:r>
        <w:rPr>
          <w:rFonts w:asciiTheme="majorBidi" w:hAnsiTheme="majorBidi" w:cstheme="majorBidi"/>
          <w:color w:val="000000" w:themeColor="text1"/>
          <w:kern w:val="2"/>
          <w:sz w:val="24"/>
          <w:szCs w:val="24"/>
          <w14:textFill>
            <w14:solidFill>
              <w14:schemeClr w14:val="tx1"/>
            </w14:solidFill>
          </w14:textFill>
        </w:rPr>
        <w:t xml:space="preserve"> F (2021): Role of the IL-23/IL-17 pathway in rheumatic diseases: an overview. Front. </w:t>
      </w:r>
      <w:r>
        <w:rPr>
          <w:rFonts w:asciiTheme="majorBidi" w:hAnsiTheme="majorBidi" w:cstheme="majorBidi"/>
          <w:color w:val="000000" w:themeColor="text1"/>
          <w:kern w:val="2"/>
          <w:sz w:val="24"/>
          <w:szCs w:val="24"/>
          <w14:textFill>
            <w14:solidFill>
              <w14:schemeClr w14:val="tx1"/>
            </w14:solidFill>
          </w14:textFill>
        </w:rPr>
        <w:t>Immunol</w:t>
      </w:r>
      <w:r>
        <w:rPr>
          <w:rFonts w:asciiTheme="majorBidi" w:hAnsiTheme="majorBidi" w:cstheme="majorBidi"/>
          <w:color w:val="000000" w:themeColor="text1"/>
          <w:kern w:val="2"/>
          <w:sz w:val="24"/>
          <w:szCs w:val="24"/>
          <w14:textFill>
            <w14:solidFill>
              <w14:schemeClr w14:val="tx1"/>
            </w14:solidFill>
          </w14:textFill>
        </w:rPr>
        <w:t>.; 12:637829.</w:t>
      </w:r>
    </w:p>
    <w:p w14:paraId="7F6835A4">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Simone D, </w:t>
      </w:r>
      <w:r>
        <w:rPr>
          <w:rFonts w:asciiTheme="majorBidi" w:hAnsiTheme="majorBidi" w:cstheme="majorBidi"/>
          <w:color w:val="000000" w:themeColor="text1"/>
          <w:kern w:val="2"/>
          <w:sz w:val="24"/>
          <w:szCs w:val="24"/>
          <w14:textFill>
            <w14:solidFill>
              <w14:schemeClr w14:val="tx1"/>
            </w14:solidFill>
          </w14:textFill>
        </w:rPr>
        <w:t>Stingo</w:t>
      </w:r>
      <w:r>
        <w:rPr>
          <w:rFonts w:asciiTheme="majorBidi" w:hAnsiTheme="majorBidi" w:cstheme="majorBidi"/>
          <w:color w:val="000000" w:themeColor="text1"/>
          <w:kern w:val="2"/>
          <w:sz w:val="24"/>
          <w:szCs w:val="24"/>
          <w14:textFill>
            <w14:solidFill>
              <w14:schemeClr w14:val="tx1"/>
            </w14:solidFill>
          </w14:textFill>
        </w:rPr>
        <w:t xml:space="preserve"> A, </w:t>
      </w:r>
      <w:r>
        <w:rPr>
          <w:rFonts w:asciiTheme="majorBidi" w:hAnsiTheme="majorBidi" w:cstheme="majorBidi"/>
          <w:color w:val="000000" w:themeColor="text1"/>
          <w:kern w:val="2"/>
          <w:sz w:val="24"/>
          <w:szCs w:val="24"/>
          <w14:textFill>
            <w14:solidFill>
              <w14:schemeClr w14:val="tx1"/>
            </w14:solidFill>
          </w14:textFill>
        </w:rPr>
        <w:t>Ciccia</w:t>
      </w:r>
      <w:r>
        <w:rPr>
          <w:rFonts w:asciiTheme="majorBidi" w:hAnsiTheme="majorBidi" w:cstheme="majorBidi"/>
          <w:color w:val="000000" w:themeColor="text1"/>
          <w:kern w:val="2"/>
          <w:sz w:val="24"/>
          <w:szCs w:val="24"/>
          <w14:textFill>
            <w14:solidFill>
              <w14:schemeClr w14:val="tx1"/>
            </w14:solidFill>
          </w14:textFill>
        </w:rPr>
        <w:t xml:space="preserve"> F. Genetic and environmental determinants of T helper 17 pathogenicity in </w:t>
      </w:r>
      <w:r>
        <w:rPr>
          <w:rFonts w:asciiTheme="majorBidi" w:hAnsiTheme="majorBidi" w:cstheme="majorBidi"/>
          <w:color w:val="000000" w:themeColor="text1"/>
          <w:kern w:val="2"/>
          <w:sz w:val="24"/>
          <w:szCs w:val="24"/>
          <w14:textFill>
            <w14:solidFill>
              <w14:schemeClr w14:val="tx1"/>
            </w14:solidFill>
          </w14:textFill>
        </w:rPr>
        <w:t>spondyloarthropathies</w:t>
      </w:r>
      <w:r>
        <w:rPr>
          <w:rFonts w:asciiTheme="majorBidi" w:hAnsiTheme="majorBidi" w:cstheme="majorBidi"/>
          <w:color w:val="000000" w:themeColor="text1"/>
          <w:kern w:val="2"/>
          <w:sz w:val="24"/>
          <w:szCs w:val="24"/>
          <w14:textFill>
            <w14:solidFill>
              <w14:schemeClr w14:val="tx1"/>
            </w14:solidFill>
          </w14:textFill>
        </w:rPr>
        <w:t>. Frontiers in Genetics. 2021 Sep 22;12:703242.</w:t>
      </w:r>
    </w:p>
    <w:p w14:paraId="30C6AAA1">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Vary J (2016): Selected disorders of skin appendages-acne, alopecia, hyperhidrosis. J. </w:t>
      </w:r>
      <w:r>
        <w:rPr>
          <w:rFonts w:asciiTheme="majorBidi" w:hAnsiTheme="majorBidi" w:cstheme="majorBidi"/>
          <w:color w:val="000000" w:themeColor="text1"/>
          <w:kern w:val="2"/>
          <w:sz w:val="24"/>
          <w:szCs w:val="24"/>
          <w14:textFill>
            <w14:solidFill>
              <w14:schemeClr w14:val="tx1"/>
            </w14:solidFill>
          </w14:textFill>
        </w:rPr>
        <w:t>Dermatol</w:t>
      </w:r>
      <w:r>
        <w:rPr>
          <w:rFonts w:asciiTheme="majorBidi" w:hAnsiTheme="majorBidi" w:cstheme="majorBidi"/>
          <w:color w:val="000000" w:themeColor="text1"/>
          <w:kern w:val="2"/>
          <w:sz w:val="24"/>
          <w:szCs w:val="24"/>
          <w14:textFill>
            <w14:solidFill>
              <w14:schemeClr w14:val="tx1"/>
            </w14:solidFill>
          </w14:textFill>
        </w:rPr>
        <w:t xml:space="preserve">. </w:t>
      </w:r>
      <w:r>
        <w:rPr>
          <w:rFonts w:asciiTheme="majorBidi" w:hAnsiTheme="majorBidi" w:cstheme="majorBidi"/>
          <w:color w:val="000000" w:themeColor="text1"/>
          <w:kern w:val="2"/>
          <w:sz w:val="24"/>
          <w:szCs w:val="24"/>
          <w14:textFill>
            <w14:solidFill>
              <w14:schemeClr w14:val="tx1"/>
            </w14:solidFill>
          </w14:textFill>
        </w:rPr>
        <w:t>Clin</w:t>
      </w:r>
      <w:r>
        <w:rPr>
          <w:rFonts w:asciiTheme="majorBidi" w:hAnsiTheme="majorBidi" w:cstheme="majorBidi"/>
          <w:color w:val="000000" w:themeColor="text1"/>
          <w:kern w:val="2"/>
          <w:sz w:val="24"/>
          <w:szCs w:val="24"/>
          <w14:textFill>
            <w14:solidFill>
              <w14:schemeClr w14:val="tx1"/>
            </w14:solidFill>
          </w14:textFill>
        </w:rPr>
        <w:t>.; 43: 24-55.</w:t>
      </w:r>
    </w:p>
    <w:p w14:paraId="438AE511">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Wang R,  Campbell S,  </w:t>
      </w:r>
      <w:r>
        <w:rPr>
          <w:rFonts w:asciiTheme="majorBidi" w:hAnsiTheme="majorBidi" w:cstheme="majorBidi"/>
          <w:color w:val="000000" w:themeColor="text1"/>
          <w:kern w:val="2"/>
          <w:sz w:val="24"/>
          <w:szCs w:val="24"/>
          <w14:textFill>
            <w14:solidFill>
              <w14:schemeClr w14:val="tx1"/>
            </w14:solidFill>
          </w14:textFill>
        </w:rPr>
        <w:t>AmirM</w:t>
      </w:r>
      <w:r>
        <w:rPr>
          <w:rFonts w:asciiTheme="majorBidi" w:hAnsiTheme="majorBidi" w:cstheme="majorBidi"/>
          <w:color w:val="000000" w:themeColor="text1"/>
          <w:kern w:val="2"/>
          <w:sz w:val="24"/>
          <w:szCs w:val="24"/>
          <w14:textFill>
            <w14:solidFill>
              <w14:schemeClr w14:val="tx1"/>
            </w14:solidFill>
          </w14:textFill>
        </w:rPr>
        <w:t xml:space="preserve">,  </w:t>
      </w:r>
      <w:r>
        <w:rPr>
          <w:rFonts w:asciiTheme="majorBidi" w:hAnsiTheme="majorBidi" w:cstheme="majorBidi"/>
          <w:color w:val="000000" w:themeColor="text1"/>
          <w:kern w:val="2"/>
          <w:sz w:val="24"/>
          <w:szCs w:val="24"/>
          <w14:textFill>
            <w14:solidFill>
              <w14:schemeClr w14:val="tx1"/>
            </w14:solidFill>
          </w14:textFill>
        </w:rPr>
        <w:t>Mosure</w:t>
      </w:r>
      <w:r>
        <w:rPr>
          <w:rFonts w:asciiTheme="majorBidi" w:hAnsiTheme="majorBidi" w:cstheme="majorBidi"/>
          <w:color w:val="000000" w:themeColor="text1"/>
          <w:kern w:val="2"/>
          <w:sz w:val="24"/>
          <w:szCs w:val="24"/>
          <w14:textFill>
            <w14:solidFill>
              <w14:schemeClr w14:val="tx1"/>
            </w14:solidFill>
          </w14:textFill>
        </w:rPr>
        <w:t xml:space="preserve"> S, </w:t>
      </w:r>
      <w:r>
        <w:rPr>
          <w:rFonts w:asciiTheme="majorBidi" w:hAnsiTheme="majorBidi" w:cstheme="majorBidi"/>
          <w:color w:val="000000" w:themeColor="text1"/>
          <w:kern w:val="2"/>
          <w:sz w:val="24"/>
          <w:szCs w:val="24"/>
          <w14:textFill>
            <w14:solidFill>
              <w14:schemeClr w14:val="tx1"/>
            </w14:solidFill>
          </w14:textFill>
        </w:rPr>
        <w:t>Bassette</w:t>
      </w:r>
      <w:r>
        <w:rPr>
          <w:rFonts w:asciiTheme="majorBidi" w:hAnsiTheme="majorBidi" w:cstheme="majorBidi"/>
          <w:color w:val="000000" w:themeColor="text1"/>
          <w:kern w:val="2"/>
          <w:sz w:val="24"/>
          <w:szCs w:val="24"/>
          <w14:textFill>
            <w14:solidFill>
              <w14:schemeClr w14:val="tx1"/>
            </w14:solidFill>
          </w14:textFill>
        </w:rPr>
        <w:t xml:space="preserve"> M, </w:t>
      </w:r>
      <w:r>
        <w:rPr>
          <w:rFonts w:asciiTheme="majorBidi" w:hAnsiTheme="majorBidi" w:cstheme="majorBidi"/>
          <w:color w:val="000000" w:themeColor="text1"/>
          <w:kern w:val="2"/>
          <w:sz w:val="24"/>
          <w:szCs w:val="24"/>
          <w14:textFill>
            <w14:solidFill>
              <w14:schemeClr w14:val="tx1"/>
            </w14:solidFill>
          </w14:textFill>
        </w:rPr>
        <w:t>Eliason</w:t>
      </w:r>
      <w:r>
        <w:rPr>
          <w:rFonts w:asciiTheme="majorBidi" w:hAnsiTheme="majorBidi" w:cstheme="majorBidi"/>
          <w:color w:val="000000" w:themeColor="text1"/>
          <w:kern w:val="2"/>
          <w:sz w:val="24"/>
          <w:szCs w:val="24"/>
          <w14:textFill>
            <w14:solidFill>
              <w14:schemeClr w14:val="tx1"/>
            </w14:solidFill>
          </w14:textFill>
        </w:rPr>
        <w:t xml:space="preserve"> A (2021): RORα regulates TH17 driven inflammatory </w:t>
      </w:r>
      <w:r>
        <w:rPr>
          <w:rFonts w:asciiTheme="majorBidi" w:hAnsiTheme="majorBidi" w:cstheme="majorBidi"/>
          <w:color w:val="000000" w:themeColor="text1"/>
          <w:kern w:val="2"/>
          <w:sz w:val="24"/>
          <w:szCs w:val="24"/>
          <w14:textFill>
            <w14:solidFill>
              <w14:schemeClr w14:val="tx1"/>
            </w14:solidFill>
          </w14:textFill>
        </w:rPr>
        <w:t>disorders.Nat</w:t>
      </w:r>
      <w:r>
        <w:rPr>
          <w:rFonts w:asciiTheme="majorBidi" w:hAnsiTheme="majorBidi" w:cstheme="majorBidi"/>
          <w:color w:val="000000" w:themeColor="text1"/>
          <w:kern w:val="2"/>
          <w:sz w:val="24"/>
          <w:szCs w:val="24"/>
          <w14:textFill>
            <w14:solidFill>
              <w14:schemeClr w14:val="tx1"/>
            </w14:solidFill>
          </w14:textFill>
        </w:rPr>
        <w:t xml:space="preserve">. Communications. </w:t>
      </w:r>
      <w:r>
        <w:rPr>
          <w:rFonts w:asciiTheme="majorBidi" w:hAnsiTheme="majorBidi" w:cstheme="majorBidi"/>
          <w:color w:val="000000" w:themeColor="text1"/>
          <w:kern w:val="2"/>
          <w:sz w:val="24"/>
          <w:szCs w:val="24"/>
          <w14:textFill>
            <w14:solidFill>
              <w14:schemeClr w14:val="tx1"/>
            </w14:solidFill>
          </w14:textFill>
        </w:rPr>
        <w:t>vol</w:t>
      </w:r>
      <w:r>
        <w:rPr>
          <w:rFonts w:asciiTheme="majorBidi" w:hAnsiTheme="majorBidi" w:cstheme="majorBidi"/>
          <w:color w:val="000000" w:themeColor="text1"/>
          <w:kern w:val="2"/>
          <w:sz w:val="24"/>
          <w:szCs w:val="24"/>
          <w14:textFill>
            <w14:solidFill>
              <w14:schemeClr w14:val="tx1"/>
            </w14:solidFill>
          </w14:textFill>
        </w:rPr>
        <w:t xml:space="preserve"> 12.; Article number: 76. </w:t>
      </w:r>
    </w:p>
    <w:p w14:paraId="5C39D7D1">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 xml:space="preserve">Xu X, Ran X, Tang J, Pradhan S, Dai Y, Zhuang K, Ran Y. Skin microbiota in non-inflammatory and inflammatory lesions of acne vulgaris: the underlying changes within the </w:t>
      </w:r>
      <w:r>
        <w:rPr>
          <w:rFonts w:asciiTheme="majorBidi" w:hAnsiTheme="majorBidi" w:cstheme="majorBidi"/>
          <w:color w:val="000000" w:themeColor="text1"/>
          <w:kern w:val="2"/>
          <w:sz w:val="24"/>
          <w:szCs w:val="24"/>
          <w14:textFill>
            <w14:solidFill>
              <w14:schemeClr w14:val="tx1"/>
            </w14:solidFill>
          </w14:textFill>
        </w:rPr>
        <w:t>pilosebaceous</w:t>
      </w:r>
      <w:r>
        <w:rPr>
          <w:rFonts w:asciiTheme="majorBidi" w:hAnsiTheme="majorBidi" w:cstheme="majorBidi"/>
          <w:color w:val="000000" w:themeColor="text1"/>
          <w:kern w:val="2"/>
          <w:sz w:val="24"/>
          <w:szCs w:val="24"/>
          <w14:textFill>
            <w14:solidFill>
              <w14:schemeClr w14:val="tx1"/>
            </w14:solidFill>
          </w14:textFill>
        </w:rPr>
        <w:t xml:space="preserve"> unit. </w:t>
      </w:r>
      <w:r>
        <w:rPr>
          <w:rFonts w:asciiTheme="majorBidi" w:hAnsiTheme="majorBidi" w:cstheme="majorBidi"/>
          <w:color w:val="000000" w:themeColor="text1"/>
          <w:kern w:val="2"/>
          <w:sz w:val="24"/>
          <w:szCs w:val="24"/>
          <w14:textFill>
            <w14:solidFill>
              <w14:schemeClr w14:val="tx1"/>
            </w14:solidFill>
          </w14:textFill>
        </w:rPr>
        <w:t>Mycopathologia</w:t>
      </w:r>
      <w:r>
        <w:rPr>
          <w:rFonts w:asciiTheme="majorBidi" w:hAnsiTheme="majorBidi" w:cstheme="majorBidi"/>
          <w:color w:val="000000" w:themeColor="text1"/>
          <w:kern w:val="2"/>
          <w:sz w:val="24"/>
          <w:szCs w:val="24"/>
          <w14:textFill>
            <w14:solidFill>
              <w14:schemeClr w14:val="tx1"/>
            </w14:solidFill>
          </w14:textFill>
        </w:rPr>
        <w:t>. 2021 Dec;186[6]:863-9.</w:t>
      </w:r>
    </w:p>
    <w:p w14:paraId="09997C48">
      <w:pPr>
        <w:spacing w:line="240" w:lineRule="auto"/>
        <w:ind w:left="547" w:hanging="547"/>
        <w:jc w:val="both"/>
        <w:rPr>
          <w:rFonts w:asciiTheme="majorBidi" w:hAnsiTheme="majorBidi" w:cstheme="majorBidi"/>
          <w:color w:val="000000" w:themeColor="text1"/>
          <w:kern w:val="2"/>
          <w:sz w:val="24"/>
          <w:szCs w:val="24"/>
          <w14:textFill>
            <w14:solidFill>
              <w14:schemeClr w14:val="tx1"/>
            </w14:solidFill>
          </w14:textFill>
        </w:rPr>
      </w:pPr>
      <w:r>
        <w:rPr>
          <w:rFonts w:asciiTheme="majorBidi" w:hAnsiTheme="majorBidi" w:cstheme="majorBidi"/>
          <w:color w:val="000000" w:themeColor="text1"/>
          <w:kern w:val="2"/>
          <w:sz w:val="24"/>
          <w:szCs w:val="24"/>
          <w14:textFill>
            <w14:solidFill>
              <w14:schemeClr w14:val="tx1"/>
            </w14:solidFill>
          </w14:textFill>
        </w:rPr>
        <w:t>Zouboulis</w:t>
      </w:r>
      <w:r>
        <w:rPr>
          <w:rFonts w:asciiTheme="majorBidi" w:hAnsiTheme="majorBidi" w:cstheme="majorBidi"/>
          <w:color w:val="000000" w:themeColor="text1"/>
          <w:kern w:val="2"/>
          <w:sz w:val="24"/>
          <w:szCs w:val="24"/>
          <w14:textFill>
            <w14:solidFill>
              <w14:schemeClr w14:val="tx1"/>
            </w14:solidFill>
          </w14:textFill>
        </w:rPr>
        <w:t xml:space="preserve"> CC, Jourdan E, </w:t>
      </w:r>
      <w:r>
        <w:rPr>
          <w:rFonts w:asciiTheme="majorBidi" w:hAnsiTheme="majorBidi" w:cstheme="majorBidi"/>
          <w:color w:val="000000" w:themeColor="text1"/>
          <w:kern w:val="2"/>
          <w:sz w:val="24"/>
          <w:szCs w:val="24"/>
          <w14:textFill>
            <w14:solidFill>
              <w14:schemeClr w14:val="tx1"/>
            </w14:solidFill>
          </w14:textFill>
        </w:rPr>
        <w:t>Picardo</w:t>
      </w:r>
      <w:r>
        <w:rPr>
          <w:rFonts w:asciiTheme="majorBidi" w:hAnsiTheme="majorBidi" w:cstheme="majorBidi"/>
          <w:color w:val="000000" w:themeColor="text1"/>
          <w:kern w:val="2"/>
          <w:sz w:val="24"/>
          <w:szCs w:val="24"/>
          <w14:textFill>
            <w14:solidFill>
              <w14:schemeClr w14:val="tx1"/>
            </w14:solidFill>
          </w14:textFill>
        </w:rPr>
        <w:t xml:space="preserve"> M. Acne is an inflammatory disease and alterations of sebum composition initiate acne lesions. Journal of the European Academy of Dermatology and Venereology. 2014 May;28[5]:52</w:t>
      </w:r>
      <w:r>
        <w:rPr>
          <w:rFonts w:asciiTheme="majorBidi" w:hAnsiTheme="majorBidi" w:cstheme="majorBidi"/>
          <w:color w:val="000000" w:themeColor="text1"/>
          <w:kern w:val="2"/>
          <w:sz w:val="24"/>
          <w:szCs w:val="24"/>
          <w14:textFill>
            <w14:solidFill>
              <w14:schemeClr w14:val="tx1"/>
            </w14:solidFill>
          </w14:textFill>
        </w:rPr>
        <w:t>7-32.</w:t>
      </w:r>
    </w:p>
    <w:sectPr>
      <w:type w:val="continuous"/>
      <w:pgSz w:w="11906" w:h="16838"/>
      <w:pgMar w:top="1440" w:right="1800" w:bottom="1440" w:left="1800" w:header="720" w:footer="720"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tos">
    <w:altName w:val="SimSun"/>
    <w:panose1 w:val="00000000000000000000"/>
    <w:charset w:val="86"/>
    <w:family w:val="swiss"/>
    <w:pitch w:val="default"/>
    <w:sig w:usb0="00000000" w:usb1="00000000" w:usb2="00000000" w:usb3="00000000" w:csb0="0000019F"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00000000" w:usb1="00000000" w:usb2="00000029" w:usb3="00000000" w:csb0="000101FF"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80"/>
    <w:family w:val="roman"/>
    <w:pitch w:val="default"/>
    <w:sig w:usb0="00000000" w:usb1="00000000" w:usb2="00000010" w:usb3="00000000" w:csb0="00020000" w:csb1="00000000"/>
  </w:font>
  <w:font w:name="Batang">
    <w:altName w:val="바탕"/>
    <w:panose1 w:val="02030600000101010101"/>
    <w:charset w:val="81"/>
    <w:family w:val="roman"/>
    <w:pitch w:val="default"/>
    <w:sig w:usb0="00000000" w:usb1="00000000" w:usb2="00000030" w:usb3="00000000" w:csb0="0008009F" w:csb1="00000000"/>
  </w:font>
  <w:font w:name="Microsoft YaHei">
    <w:panose1 w:val="020B0503020204020204"/>
    <w:charset w:val="86"/>
    <w:family w:val="swiss"/>
    <w:pitch w:val="default"/>
    <w:sig w:usb0="00000000" w:usb1="00000000" w:usb2="00000016" w:usb3="00000000" w:csb0="0004001F" w:csb1="00000000"/>
  </w:font>
  <w:font w:name="MS Gothic">
    <w:altName w:val="ＭＳ ゴシック"/>
    <w:panose1 w:val="020B0609070205080204"/>
    <w:charset w:val="80"/>
    <w:family w:val="modern"/>
    <w:pitch w:val="default"/>
    <w:sig w:usb0="00000000" w:usb1="00000000" w:usb2="08000012" w:usb3="00000000" w:csb0="0002009F" w:csb1="00000000"/>
  </w:font>
  <w:font w:name="DengXian">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0BA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8914">
    <w:pPr>
      <w:pStyle w:val="13"/>
      <w:rPr>
        <w:b/>
        <w:bCs/>
        <w:i/>
        <w:iCs/>
        <w:lang w:val="en-GB"/>
      </w:rPr>
    </w:pPr>
    <w:r>
      <w:rPr>
        <w:b/>
        <w:bCs/>
        <w:i/>
        <w:iCs/>
        <w:lang w:val="en-GB"/>
      </w:rPr>
      <w:fldChar w:fldCharType="begin"/>
    </w:r>
    <w:r>
      <w:rPr>
        <w:b/>
        <w:bCs/>
        <w:i/>
        <w:iCs/>
        <w:lang w:val="en-GB"/>
      </w:rPr>
      <w:instrText xml:space="preserve"> PAGE   \* MERGEFORMAT </w:instrText>
    </w:r>
    <w:r>
      <w:rPr>
        <w:b/>
        <w:bCs/>
        <w:i/>
        <w:iCs/>
        <w:lang w:val="en-GB"/>
      </w:rPr>
      <w:fldChar w:fldCharType="separate"/>
    </w:r>
    <w:r>
      <w:rPr>
        <w:b/>
        <w:bCs/>
        <w:i/>
        <w:iCs/>
        <w:lang w:val="en-GB"/>
      </w:rPr>
      <w:t>1</w:t>
    </w:r>
    <w:r>
      <w:fldChar w:fldCharType="end"/>
    </w:r>
    <w:r>
      <w:rPr>
        <w:b/>
        <w:bCs/>
        <w:i/>
        <w:iCs/>
        <w:lang w:val="en-GB"/>
      </w:rPr>
      <w:t xml:space="preserve">                                         </w:t>
    </w:r>
  </w:p>
  <w:p w14:paraId="032B9A6D">
    <w:pPr>
      <w:pStyle w:val="13"/>
      <w:rPr>
        <w:b/>
        <w:bCs/>
        <w:i/>
        <w:iCs/>
        <w:lang w:val="en-GB"/>
      </w:rPr>
    </w:pP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196215</wp:posOffset>
              </wp:positionV>
              <wp:extent cx="6949440" cy="0"/>
              <wp:effectExtent l="0" t="0" r="22860" b="19050"/>
              <wp:wrapNone/>
              <wp:docPr id="7" name="رابط كسهم مستقيم 7"/>
              <wp:cNvGraphicFramePr/>
              <a:graphic xmlns:a="http://schemas.openxmlformats.org/drawingml/2006/main">
                <a:graphicData uri="http://schemas.microsoft.com/office/word/2010/wordprocessingShape">
                  <wps:wsp>
                    <wps:cNvCnPr>
                      <a:cxnSpLocks noChangeShapeType="1"/>
                    </wps:cNvCnPr>
                    <wps:spPr bwMode="auto">
                      <a:xfrm flipH="1">
                        <a:off x="0" y="0"/>
                        <a:ext cx="6949440" cy="0"/>
                      </a:xfrm>
                      <a:prstGeom prst="straightConnector1">
                        <a:avLst/>
                      </a:prstGeom>
                      <a:noFill/>
                      <a:ln w="9525">
                        <a:solidFill>
                          <a:srgbClr val="000000"/>
                        </a:solidFill>
                        <a:round/>
                      </a:ln>
                    </wps:spPr>
                    <wps:bodyPr/>
                  </wps:wsp>
                </a:graphicData>
              </a:graphic>
            </wp:anchor>
          </w:drawing>
        </mc:Choice>
        <mc:Fallback>
          <w:pict>
            <v:shape id="رابط كسهم مستقيم 7" o:spid="_x0000_s1026" o:spt="32" type="#_x0000_t32" style="position:absolute;left:0pt;flip:x;margin-left:-13.5pt;margin-top:15.45pt;height:0pt;width:547.2pt;z-index:251659264;mso-width-relative:page;mso-height-relative:page;" filled="f" stroked="t" coordsize="21600,21600" o:gfxdata="UEsDBAoAAAAAAIdO4kAAAAAAAAAAAAAAAAAEAAAAZHJzL1BLAwQUAAAACACHTuJAefGm4dcAAAAK&#10;AQAADwAAAGRycy9kb3ducmV2LnhtbE2PwU7DMBBE70j8g7VI3Fq7pUpKGqcHJBAHFIkC9228TQLx&#10;OsRu0v49rjjAcXZGs2/y7cl2YqTBt441LOYKBHHlTMu1hve3x9kahA/IBjvHpOFMHrbF9VWOmXET&#10;v9K4C7WIJewz1NCE0GdS+qohi37ueuLoHdxgMUQ51NIMOMVy28mlUom02HL80GBPDw1VX7uj1fDN&#10;6fljJcf1Z1mG5On5pWYqJ61vbxZqAyLQKfyF4YIf0aGITHt3ZONFp2G2TOOWoOFO3YO4BFSSrkDs&#10;fy+yyOX/CcUPUEsDBBQAAAAIAIdO4kA/Un4v5wEAAIMDAAAOAAAAZHJzL2Uyb0RvYy54bWytU81u&#10;EzEQviPxDpbvZJMobckqmx5SFQ4FIrU8gOP17lrYHst2sskVVCHxIiBuqAdeZfdtGDtp+sMNsQdr&#10;x+Pv83zfjGfnW63IRjgvwRR0NBhSIgyHUpq6oB9vLl+9psQHZkqmwIiC7oSn5/OXL2atzcUYGlCl&#10;cARJjM9bW9AmBJtnmeeN0MwPwAqDyQqcZgFDV2elYy2ya5WNh8PTrAVXWgdceI+7F/sknSf+qhI8&#10;fKgqLwJRBcXaQlpdWldxzeYzlteO2UbyQxnsH6rQTBq89Eh1wQIjayf/otKSO/BQhQEHnUFVSS6S&#10;BlQzGj5Tc90wK5IWNMfbo03+/9Hy95ulI7Is6BklhmlsUfer+9796H6T/kt313/tb0l/2911P/vP&#10;/TcMzqJnrfU5Qhdm6aJqvjXX9gr4J08MLBpmapFqv9lZJBxFRPYEEgNv8eZV+w5KPMPWAZKB28pp&#10;Uilp30ZgJEeTyDZ1bHfsmNgGwnHzdDqZTibYWH6fy1geKSLQOh/eCNAk/hTUB8dk3YQFGINzAW5P&#10;zzZXPsQCHwARbOBSKpXGQxnSFnR6Mj5J9XhQsozJeMy7erVQjmxYHLD0JbWYeXzMwdqU+0uUOZgR&#10;9e+dXEG5W7p7k7DTqZrDVMZRehwn9MPbm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fGm4dcA&#10;AAAKAQAADwAAAAAAAAABACAAAAAiAAAAZHJzL2Rvd25yZXYueG1sUEsBAhQAFAAAAAgAh07iQD9S&#10;fi/nAQAAgwMAAA4AAAAAAAAAAQAgAAAAJgEAAGRycy9lMm9Eb2MueG1sUEsFBgAAAAAGAAYAWQEA&#10;AH8FAAAAAAAA&#10;">
              <v:fill on="f" focussize="0,0"/>
              <v:stroke color="#000000" joinstyle="round"/>
              <v:imagedata o:title=""/>
              <o:lock v:ext="edit" aspectratio="f"/>
            </v:shape>
          </w:pict>
        </mc:Fallback>
      </mc:AlternateContent>
    </w:r>
  </w:p>
  <w:tbl>
    <w:tblPr>
      <w:tblStyle w:val="22"/>
      <w:tblW w:w="9549" w:type="dxa"/>
      <w:jc w:val="center"/>
      <w:tblInd w:w="0" w:type="dxa"/>
      <w:tblLayout w:type="fixed"/>
      <w:tblCellMar>
        <w:top w:w="0" w:type="dxa"/>
        <w:left w:w="108" w:type="dxa"/>
        <w:bottom w:w="0" w:type="dxa"/>
        <w:right w:w="108" w:type="dxa"/>
      </w:tblCellMar>
    </w:tblPr>
    <w:tblGrid>
      <w:gridCol w:w="2430"/>
      <w:gridCol w:w="3574"/>
      <w:gridCol w:w="3545"/>
    </w:tblGrid>
    <w:tr w14:paraId="01334B2F">
      <w:tblPrEx>
        <w:tblLayout w:type="fixed"/>
      </w:tblPrEx>
      <w:trPr>
        <w:trHeight w:val="1771" w:hRule="atLeast"/>
        <w:jc w:val="center"/>
      </w:trPr>
      <w:tc>
        <w:tcPr>
          <w:tcW w:w="2430" w:type="dxa"/>
        </w:tcPr>
        <w:p w14:paraId="1C79D0F9">
          <w:pPr>
            <w:pStyle w:val="13"/>
            <w:spacing w:line="276" w:lineRule="auto"/>
            <w:rPr>
              <w:b/>
              <w:bCs/>
              <w:i/>
              <w:iCs/>
              <w:lang w:val="en-GB"/>
            </w:rPr>
          </w:pPr>
          <w:r>
            <w:drawing>
              <wp:inline distT="0" distB="0" distL="0" distR="0">
                <wp:extent cx="1306195" cy="1080770"/>
                <wp:effectExtent l="0" t="0" r="8255" b="508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06195" cy="1080770"/>
                        </a:xfrm>
                        <a:prstGeom prst="rect">
                          <a:avLst/>
                        </a:prstGeom>
                        <a:noFill/>
                        <a:ln>
                          <a:noFill/>
                        </a:ln>
                      </pic:spPr>
                    </pic:pic>
                  </a:graphicData>
                </a:graphic>
              </wp:inline>
            </w:drawing>
          </w:r>
        </w:p>
      </w:tc>
      <w:tc>
        <w:tcPr>
          <w:tcW w:w="3574" w:type="dxa"/>
        </w:tcPr>
        <w:p w14:paraId="2D63024C">
          <w:pPr>
            <w:pStyle w:val="13"/>
            <w:spacing w:line="276" w:lineRule="auto"/>
            <w:rPr>
              <w:b/>
              <w:bCs/>
              <w:i/>
              <w:iCs/>
              <w:lang w:val="en-GB"/>
            </w:rPr>
          </w:pPr>
        </w:p>
        <w:p w14:paraId="1FB69FA5">
          <w:pPr>
            <w:pStyle w:val="13"/>
            <w:spacing w:line="276" w:lineRule="auto"/>
            <w:rPr>
              <w:lang w:bidi="ar-EG"/>
            </w:rPr>
          </w:pPr>
        </w:p>
      </w:tc>
      <w:tc>
        <w:tcPr>
          <w:tcW w:w="3545" w:type="dxa"/>
        </w:tcPr>
        <w:p w14:paraId="261CD281">
          <w:pPr>
            <w:pStyle w:val="13"/>
            <w:spacing w:line="276" w:lineRule="auto"/>
            <w:rPr>
              <w:b/>
              <w:bCs/>
              <w:i/>
              <w:iCs/>
              <w:lang w:val="en-GB"/>
            </w:rPr>
          </w:pPr>
        </w:p>
      </w:tc>
    </w:tr>
  </w:tbl>
  <w:p w14:paraId="1FFD9BCD">
    <w:pPr>
      <w:pStyle w:val="13"/>
      <w:tabs>
        <w:tab w:val="left" w:pos="5136"/>
        <w:tab w:val="clear" w:pos="4680"/>
        <w:tab w:val="clear" w:pos="9360"/>
      </w:tabs>
      <w:ind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80193"/>
    </w:sdtPr>
    <w:sdtContent>
      <w:p w14:paraId="1C581277">
        <w:pPr>
          <w:pStyle w:val="13"/>
          <w:jc w:val="left"/>
        </w:pPr>
        <w:r>
          <w:fldChar w:fldCharType="begin"/>
        </w:r>
        <w:r>
          <w:instrText xml:space="preserve">PAGE   \* MERGEFORMAT</w:instrText>
        </w:r>
        <w:r>
          <w:fldChar w:fldCharType="separate"/>
        </w:r>
        <w:r>
          <w:rPr>
            <w:rFonts w:cs="Aptos"/>
            <w:lang w:val="ar-SA"/>
          </w:rPr>
          <w:t>8</w:t>
        </w:r>
        <w:r>
          <w:fldChar w:fldCharType="end"/>
        </w:r>
      </w:p>
    </w:sdtContent>
  </w:sdt>
  <w:p w14:paraId="34EA3C5C">
    <w:pPr>
      <w:pStyle w:val="13"/>
      <w:tabs>
        <w:tab w:val="left" w:pos="5136"/>
        <w:tab w:val="clear" w:pos="4680"/>
        <w:tab w:val="clear" w:pos="9360"/>
      </w:tabs>
      <w:ind w:firstLine="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25"/>
      <w:jc w:val="center"/>
    </w:pPr>
    <w:rPr>
      <w:rFonts w:asciiTheme="minorHAnsi" w:hAnsiTheme="minorHAnsi" w:eastAsiaTheme="minorHAnsi" w:cstheme="minorBidi"/>
      <w:sz w:val="22"/>
      <w:szCs w:val="22"/>
      <w:lang w:val="en-US" w:eastAsia="en-US" w:bidi="ar-SA"/>
      <w14:ligatures w14:val="none"/>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olor w:val="104862" w:themeColor="accent1" w:themeShade="BF"/>
      <w:sz w:val="40"/>
      <w:szCs w:val="40"/>
    </w:rPr>
  </w:style>
  <w:style w:type="paragraph" w:styleId="3">
    <w:name w:val="heading 2"/>
    <w:basedOn w:val="1"/>
    <w:next w:val="1"/>
    <w:link w:val="25"/>
    <w:unhideWhenUsed/>
    <w:qFormat/>
    <w:uiPriority w:val="9"/>
    <w:pPr>
      <w:keepNext/>
      <w:keepLines/>
      <w:spacing w:before="160" w:after="80"/>
      <w:outlineLvl w:val="1"/>
    </w:pPr>
    <w:rPr>
      <w:rFonts w:asciiTheme="majorHAnsi" w:hAnsiTheme="majorHAnsi" w:eastAsiaTheme="majorEastAsia"/>
      <w:color w:val="104862" w:themeColor="accent1" w:themeShade="BF"/>
      <w:sz w:val="32"/>
      <w:szCs w:val="32"/>
    </w:rPr>
  </w:style>
  <w:style w:type="paragraph" w:styleId="4">
    <w:name w:val="heading 3"/>
    <w:basedOn w:val="1"/>
    <w:next w:val="1"/>
    <w:link w:val="26"/>
    <w:unhideWhenUsed/>
    <w:qFormat/>
    <w:uiPriority w:val="9"/>
    <w:pPr>
      <w:keepNext/>
      <w:keepLines/>
      <w:spacing w:before="160" w:after="80"/>
      <w:outlineLvl w:val="2"/>
    </w:pPr>
    <w:rPr>
      <w:rFonts w:eastAsiaTheme="majorEastAsia"/>
      <w:color w:val="104862" w:themeColor="accent1" w:themeShade="BF"/>
    </w:rPr>
  </w:style>
  <w:style w:type="paragraph" w:styleId="5">
    <w:name w:val="heading 4"/>
    <w:basedOn w:val="1"/>
    <w:next w:val="1"/>
    <w:link w:val="27"/>
    <w:unhideWhenUsed/>
    <w:qFormat/>
    <w:uiPriority w:val="9"/>
    <w:pPr>
      <w:keepNext/>
      <w:keepLines/>
      <w:spacing w:before="80" w:after="40"/>
      <w:outlineLvl w:val="3"/>
    </w:pPr>
    <w:rPr>
      <w:rFonts w:eastAsiaTheme="majorEastAsia"/>
      <w:i/>
      <w:iCs/>
      <w:color w:val="104862" w:themeColor="accent1" w:themeShade="BF"/>
    </w:rPr>
  </w:style>
  <w:style w:type="paragraph" w:styleId="6">
    <w:name w:val="heading 5"/>
    <w:basedOn w:val="1"/>
    <w:next w:val="1"/>
    <w:link w:val="28"/>
    <w:unhideWhenUsed/>
    <w:qFormat/>
    <w:uiPriority w:val="9"/>
    <w:pPr>
      <w:keepNext/>
      <w:keepLines/>
      <w:spacing w:before="80" w:after="40"/>
      <w:outlineLvl w:val="4"/>
    </w:pPr>
    <w:rPr>
      <w:rFonts w:eastAsiaTheme="majorEastAsia"/>
      <w:color w:val="104862" w:themeColor="accent1" w:themeShade="BF"/>
    </w:rPr>
  </w:style>
  <w:style w:type="paragraph" w:styleId="7">
    <w:name w:val="heading 6"/>
    <w:basedOn w:val="1"/>
    <w:next w:val="1"/>
    <w:link w:val="29"/>
    <w:unhideWhenUsed/>
    <w:qFormat/>
    <w:uiPriority w:val="9"/>
    <w:pPr>
      <w:keepNext/>
      <w:keepLines/>
      <w:spacing w:before="40"/>
      <w:outlineLvl w:val="5"/>
    </w:pPr>
    <w:rPr>
      <w:rFonts w:eastAsiaTheme="majorEastAsia"/>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unhideWhenUsed/>
    <w:qFormat/>
    <w:uiPriority w:val="9"/>
    <w:pPr>
      <w:keepNext/>
      <w:keepLines/>
      <w:spacing w:before="40"/>
      <w:outlineLvl w:val="6"/>
    </w:pPr>
    <w:rPr>
      <w:rFonts w:eastAsiaTheme="majorEastAsia"/>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unhideWhenUsed/>
    <w:qFormat/>
    <w:uiPriority w:val="9"/>
    <w:pPr>
      <w:keepNext/>
      <w:keepLines/>
      <w:outlineLvl w:val="7"/>
    </w:pPr>
    <w:rPr>
      <w:rFonts w:eastAsiaTheme="majorEastAsia"/>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unhideWhenUsed/>
    <w:qFormat/>
    <w:uiPriority w:val="9"/>
    <w:pPr>
      <w:keepNext/>
      <w:keepLines/>
      <w:outlineLvl w:val="8"/>
    </w:pPr>
    <w:rPr>
      <w:rFonts w:eastAsiaTheme="majorEastAsia"/>
      <w:color w:val="262626" w:themeColor="text1" w:themeTint="D9"/>
      <w14:textFill>
        <w14:solidFill>
          <w14:schemeClr w14:val="tx1">
            <w14:lumMod w14:val="85000"/>
            <w14:lumOff w14:val="15000"/>
          </w14:schemeClr>
        </w14:solidFill>
      </w14:textFill>
    </w:rPr>
  </w:style>
  <w:style w:type="character" w:default="1" w:styleId="17">
    <w:name w:val="Default Paragraph Font"/>
    <w:unhideWhenUsed/>
    <w:uiPriority w:val="1"/>
  </w:style>
  <w:style w:type="table" w:default="1" w:styleId="22">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link w:val="49"/>
    <w:unhideWhenUsed/>
    <w:qFormat/>
    <w:uiPriority w:val="99"/>
    <w:pPr>
      <w:spacing w:line="240" w:lineRule="auto"/>
    </w:pPr>
    <w:rPr>
      <w:rFonts w:ascii="Tahoma" w:hAnsi="Tahoma" w:cs="Tahoma"/>
      <w:sz w:val="16"/>
      <w:szCs w:val="16"/>
    </w:rPr>
  </w:style>
  <w:style w:type="paragraph" w:styleId="12">
    <w:name w:val="footer"/>
    <w:basedOn w:val="1"/>
    <w:link w:val="48"/>
    <w:unhideWhenUsed/>
    <w:qFormat/>
    <w:uiPriority w:val="99"/>
    <w:pPr>
      <w:tabs>
        <w:tab w:val="center" w:pos="4680"/>
        <w:tab w:val="right" w:pos="9360"/>
      </w:tabs>
      <w:spacing w:line="240" w:lineRule="auto"/>
    </w:pPr>
  </w:style>
  <w:style w:type="paragraph" w:styleId="13">
    <w:name w:val="header"/>
    <w:basedOn w:val="1"/>
    <w:link w:val="47"/>
    <w:unhideWhenUsed/>
    <w:qFormat/>
    <w:uiPriority w:val="99"/>
    <w:pPr>
      <w:tabs>
        <w:tab w:val="center" w:pos="4680"/>
        <w:tab w:val="right" w:pos="9360"/>
      </w:tabs>
      <w:spacing w:line="240" w:lineRule="auto"/>
    </w:pPr>
  </w:style>
  <w:style w:type="paragraph" w:styleId="14">
    <w:name w:val="Normal (Web)"/>
    <w:basedOn w:val="1"/>
    <w:unhideWhenUsed/>
    <w:qFormat/>
    <w:uiPriority w:val="99"/>
    <w:pPr>
      <w:spacing w:before="100" w:beforeAutospacing="1" w:after="100" w:afterAutospacing="1" w:line="240" w:lineRule="auto"/>
      <w:ind w:firstLine="0"/>
      <w:jc w:val="left"/>
    </w:pPr>
    <w:rPr>
      <w:rFonts w:ascii="Times New Roman" w:hAnsi="Times New Roman" w:eastAsia="Times New Roman" w:cs="Times New Roman"/>
      <w:sz w:val="24"/>
      <w:szCs w:val="24"/>
    </w:rPr>
  </w:style>
  <w:style w:type="paragraph" w:styleId="15">
    <w:name w:val="Subtitle"/>
    <w:basedOn w:val="1"/>
    <w:next w:val="1"/>
    <w:link w:val="34"/>
    <w:qFormat/>
    <w:uiPriority w:val="11"/>
    <w:rPr>
      <w:rFonts w:eastAsiaTheme="majorEastAsia"/>
      <w:color w:val="595959" w:themeColor="text1" w:themeTint="A6"/>
      <w:spacing w:val="15"/>
      <w14:textFill>
        <w14:solidFill>
          <w14:schemeClr w14:val="tx1">
            <w14:lumMod w14:val="65000"/>
            <w14:lumOff w14:val="35000"/>
          </w14:schemeClr>
        </w14:solidFill>
      </w14:textFill>
    </w:rPr>
  </w:style>
  <w:style w:type="paragraph" w:styleId="16">
    <w:name w:val="Title"/>
    <w:basedOn w:val="1"/>
    <w:next w:val="1"/>
    <w:link w:val="33"/>
    <w:qFormat/>
    <w:uiPriority w:val="10"/>
    <w:pPr>
      <w:spacing w:after="80" w:line="240" w:lineRule="auto"/>
      <w:contextualSpacing/>
    </w:pPr>
    <w:rPr>
      <w:rFonts w:asciiTheme="majorHAnsi" w:hAnsiTheme="majorHAnsi" w:eastAsiaTheme="majorEastAsia"/>
      <w:spacing w:val="-10"/>
      <w:kern w:val="28"/>
      <w:sz w:val="56"/>
      <w:szCs w:val="56"/>
    </w:rPr>
  </w:style>
  <w:style w:type="character" w:styleId="18">
    <w:name w:val="Emphasis"/>
    <w:basedOn w:val="17"/>
    <w:qFormat/>
    <w:uiPriority w:val="20"/>
    <w:rPr>
      <w:i/>
      <w:iCs/>
    </w:rPr>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styleId="20">
    <w:name w:val="line number"/>
    <w:basedOn w:val="17"/>
    <w:unhideWhenUsed/>
    <w:qFormat/>
    <w:uiPriority w:val="99"/>
  </w:style>
  <w:style w:type="character" w:styleId="21">
    <w:name w:val="Strong"/>
    <w:basedOn w:val="17"/>
    <w:qFormat/>
    <w:uiPriority w:val="22"/>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عنوان 1 Char"/>
    <w:basedOn w:val="17"/>
    <w:link w:val="2"/>
    <w:qFormat/>
    <w:uiPriority w:val="9"/>
    <w:rPr>
      <w:rFonts w:asciiTheme="majorHAnsi" w:hAnsiTheme="majorHAnsi" w:eastAsiaTheme="majorEastAsia"/>
      <w:color w:val="104862" w:themeColor="accent1" w:themeShade="BF"/>
      <w:sz w:val="40"/>
      <w:szCs w:val="40"/>
    </w:rPr>
  </w:style>
  <w:style w:type="character" w:customStyle="1" w:styleId="25">
    <w:name w:val="عنوان 2 Char"/>
    <w:basedOn w:val="17"/>
    <w:link w:val="3"/>
    <w:semiHidden/>
    <w:qFormat/>
    <w:uiPriority w:val="9"/>
    <w:rPr>
      <w:rFonts w:asciiTheme="majorHAnsi" w:hAnsiTheme="majorHAnsi" w:eastAsiaTheme="majorEastAsia"/>
      <w:color w:val="104862" w:themeColor="accent1" w:themeShade="BF"/>
      <w:sz w:val="32"/>
      <w:szCs w:val="32"/>
    </w:rPr>
  </w:style>
  <w:style w:type="character" w:customStyle="1" w:styleId="26">
    <w:name w:val="عنوان 3 Char"/>
    <w:basedOn w:val="17"/>
    <w:link w:val="4"/>
    <w:semiHidden/>
    <w:qFormat/>
    <w:uiPriority w:val="9"/>
    <w:rPr>
      <w:rFonts w:asciiTheme="minorHAnsi" w:hAnsiTheme="minorHAnsi" w:eastAsiaTheme="majorEastAsia"/>
      <w:color w:val="104862" w:themeColor="accent1" w:themeShade="BF"/>
    </w:rPr>
  </w:style>
  <w:style w:type="character" w:customStyle="1" w:styleId="27">
    <w:name w:val="عنوان 4 Char"/>
    <w:basedOn w:val="17"/>
    <w:link w:val="5"/>
    <w:semiHidden/>
    <w:qFormat/>
    <w:uiPriority w:val="9"/>
    <w:rPr>
      <w:rFonts w:asciiTheme="minorHAnsi" w:hAnsiTheme="minorHAnsi" w:eastAsiaTheme="majorEastAsia"/>
      <w:i/>
      <w:iCs/>
      <w:color w:val="104862" w:themeColor="accent1" w:themeShade="BF"/>
    </w:rPr>
  </w:style>
  <w:style w:type="character" w:customStyle="1" w:styleId="28">
    <w:name w:val="عنوان 5 Char"/>
    <w:basedOn w:val="17"/>
    <w:link w:val="6"/>
    <w:semiHidden/>
    <w:qFormat/>
    <w:uiPriority w:val="9"/>
    <w:rPr>
      <w:rFonts w:asciiTheme="minorHAnsi" w:hAnsiTheme="minorHAnsi" w:eastAsiaTheme="majorEastAsia"/>
      <w:color w:val="104862" w:themeColor="accent1" w:themeShade="BF"/>
    </w:rPr>
  </w:style>
  <w:style w:type="character" w:customStyle="1" w:styleId="29">
    <w:name w:val="عنوان 6 Char"/>
    <w:basedOn w:val="17"/>
    <w:link w:val="7"/>
    <w:semiHidden/>
    <w:qFormat/>
    <w:uiPriority w:val="9"/>
    <w:rPr>
      <w:rFonts w:asciiTheme="minorHAnsi" w:hAnsiTheme="minorHAnsi" w:eastAsiaTheme="majorEastAsia"/>
      <w:i/>
      <w:iCs/>
      <w:color w:val="595959" w:themeColor="text1" w:themeTint="A6"/>
      <w14:textFill>
        <w14:solidFill>
          <w14:schemeClr w14:val="tx1">
            <w14:lumMod w14:val="65000"/>
            <w14:lumOff w14:val="35000"/>
          </w14:schemeClr>
        </w14:solidFill>
      </w14:textFill>
    </w:rPr>
  </w:style>
  <w:style w:type="character" w:customStyle="1" w:styleId="30">
    <w:name w:val="عنوان 7 Char"/>
    <w:basedOn w:val="17"/>
    <w:link w:val="8"/>
    <w:semiHidden/>
    <w:qFormat/>
    <w:uiPriority w:val="9"/>
    <w:rPr>
      <w:rFonts w:asciiTheme="minorHAnsi" w:hAnsiTheme="minorHAnsi" w:eastAsiaTheme="majorEastAsia"/>
      <w:color w:val="595959" w:themeColor="text1" w:themeTint="A6"/>
      <w14:textFill>
        <w14:solidFill>
          <w14:schemeClr w14:val="tx1">
            <w14:lumMod w14:val="65000"/>
            <w14:lumOff w14:val="35000"/>
          </w14:schemeClr>
        </w14:solidFill>
      </w14:textFill>
    </w:rPr>
  </w:style>
  <w:style w:type="character" w:customStyle="1" w:styleId="31">
    <w:name w:val="عنوان 8 Char"/>
    <w:basedOn w:val="17"/>
    <w:link w:val="9"/>
    <w:semiHidden/>
    <w:qFormat/>
    <w:uiPriority w:val="9"/>
    <w:rPr>
      <w:rFonts w:asciiTheme="minorHAnsi" w:hAnsiTheme="minorHAnsi" w:eastAsiaTheme="majorEastAsia"/>
      <w:i/>
      <w:iCs/>
      <w:color w:val="262626" w:themeColor="text1" w:themeTint="D9"/>
      <w14:textFill>
        <w14:solidFill>
          <w14:schemeClr w14:val="tx1">
            <w14:lumMod w14:val="85000"/>
            <w14:lumOff w14:val="15000"/>
          </w14:schemeClr>
        </w14:solidFill>
      </w14:textFill>
    </w:rPr>
  </w:style>
  <w:style w:type="character" w:customStyle="1" w:styleId="32">
    <w:name w:val="عنوان 9 Char"/>
    <w:basedOn w:val="17"/>
    <w:link w:val="10"/>
    <w:semiHidden/>
    <w:qFormat/>
    <w:uiPriority w:val="9"/>
    <w:rPr>
      <w:rFonts w:asciiTheme="minorHAnsi" w:hAnsiTheme="minorHAnsi" w:eastAsiaTheme="majorEastAsia"/>
      <w:color w:val="262626" w:themeColor="text1" w:themeTint="D9"/>
      <w14:textFill>
        <w14:solidFill>
          <w14:schemeClr w14:val="tx1">
            <w14:lumMod w14:val="85000"/>
            <w14:lumOff w14:val="15000"/>
          </w14:schemeClr>
        </w14:solidFill>
      </w14:textFill>
    </w:rPr>
  </w:style>
  <w:style w:type="character" w:customStyle="1" w:styleId="33">
    <w:name w:val="العنوان Char"/>
    <w:basedOn w:val="17"/>
    <w:link w:val="16"/>
    <w:qFormat/>
    <w:uiPriority w:val="10"/>
    <w:rPr>
      <w:rFonts w:asciiTheme="majorHAnsi" w:hAnsiTheme="majorHAnsi" w:eastAsiaTheme="majorEastAsia"/>
      <w:color w:val="auto"/>
      <w:spacing w:val="-10"/>
      <w:kern w:val="28"/>
      <w:sz w:val="56"/>
      <w:szCs w:val="56"/>
    </w:rPr>
  </w:style>
  <w:style w:type="character" w:customStyle="1" w:styleId="34">
    <w:name w:val="عنوان فرعي Char"/>
    <w:basedOn w:val="17"/>
    <w:link w:val="15"/>
    <w:qFormat/>
    <w:uiPriority w:val="11"/>
    <w:rPr>
      <w:rFonts w:asciiTheme="minorHAnsi" w:hAnsiTheme="minorHAnsi" w:eastAsiaTheme="majorEastAsia"/>
      <w:color w:val="595959" w:themeColor="text1" w:themeTint="A6"/>
      <w:spacing w:val="15"/>
      <w14:textFill>
        <w14:solidFill>
          <w14:schemeClr w14:val="tx1">
            <w14:lumMod w14:val="65000"/>
            <w14:lumOff w14:val="35000"/>
          </w14:schemeClr>
        </w14:solidFill>
      </w14:textFill>
    </w:rPr>
  </w:style>
  <w:style w:type="paragraph" w:customStyle="1" w:styleId="35">
    <w:name w:val="Quote"/>
    <w:basedOn w:val="1"/>
    <w:next w:val="1"/>
    <w:link w:val="36"/>
    <w:qFormat/>
    <w:uiPriority w:val="29"/>
    <w:pPr>
      <w:spacing w:before="160"/>
    </w:pPr>
    <w:rPr>
      <w:i/>
      <w:iCs/>
      <w:color w:val="404040" w:themeColor="text1" w:themeTint="BF"/>
      <w14:textFill>
        <w14:solidFill>
          <w14:schemeClr w14:val="tx1">
            <w14:lumMod w14:val="75000"/>
            <w14:lumOff w14:val="25000"/>
          </w14:schemeClr>
        </w14:solidFill>
      </w14:textFill>
    </w:rPr>
  </w:style>
  <w:style w:type="character" w:customStyle="1" w:styleId="36">
    <w:name w:val="اقتباس Char"/>
    <w:basedOn w:val="17"/>
    <w:link w:val="35"/>
    <w:qFormat/>
    <w:uiPriority w:val="29"/>
    <w:rPr>
      <w:i/>
      <w:iCs/>
      <w:color w:val="404040" w:themeColor="text1" w:themeTint="BF"/>
      <w14:textFill>
        <w14:solidFill>
          <w14:schemeClr w14:val="tx1">
            <w14:lumMod w14:val="75000"/>
            <w14:lumOff w14:val="25000"/>
          </w14:schemeClr>
        </w14:solidFill>
      </w14:textFill>
    </w:rPr>
  </w:style>
  <w:style w:type="paragraph" w:customStyle="1" w:styleId="37">
    <w:name w:val="List Paragraph"/>
    <w:basedOn w:val="1"/>
    <w:qFormat/>
    <w:uiPriority w:val="34"/>
    <w:pPr>
      <w:ind w:left="720"/>
      <w:contextualSpacing/>
    </w:pPr>
  </w:style>
  <w:style w:type="character" w:customStyle="1" w:styleId="38">
    <w:name w:val="تأكيد مكثف1"/>
    <w:basedOn w:val="17"/>
    <w:qFormat/>
    <w:uiPriority w:val="21"/>
    <w:rPr>
      <w:i/>
      <w:iCs/>
      <w:color w:val="104862" w:themeColor="accent1" w:themeShade="BF"/>
    </w:rPr>
  </w:style>
  <w:style w:type="paragraph" w:customStyle="1"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pPr>
    <w:rPr>
      <w:i/>
      <w:iCs/>
      <w:color w:val="104862" w:themeColor="accent1" w:themeShade="BF"/>
    </w:rPr>
  </w:style>
  <w:style w:type="character" w:customStyle="1" w:styleId="40">
    <w:name w:val="اقتباس مكثف Char"/>
    <w:basedOn w:val="17"/>
    <w:link w:val="39"/>
    <w:qFormat/>
    <w:uiPriority w:val="30"/>
    <w:rPr>
      <w:i/>
      <w:iCs/>
      <w:color w:val="104862" w:themeColor="accent1" w:themeShade="BF"/>
    </w:rPr>
  </w:style>
  <w:style w:type="character" w:customStyle="1" w:styleId="41">
    <w:name w:val="مرجع مكثف1"/>
    <w:basedOn w:val="17"/>
    <w:qFormat/>
    <w:uiPriority w:val="32"/>
    <w:rPr>
      <w:b/>
      <w:bCs/>
      <w:smallCaps/>
      <w:color w:val="104862" w:themeColor="accent1" w:themeShade="BF"/>
      <w:spacing w:val="5"/>
    </w:rPr>
  </w:style>
  <w:style w:type="paragraph" w:customStyle="1" w:styleId="42">
    <w:name w:val="H1"/>
    <w:basedOn w:val="1"/>
    <w:link w:val="43"/>
    <w:qFormat/>
    <w:uiPriority w:val="0"/>
    <w:pPr>
      <w:autoSpaceDE w:val="0"/>
      <w:autoSpaceDN w:val="0"/>
      <w:adjustRightInd w:val="0"/>
      <w:spacing w:before="240" w:after="240" w:line="276" w:lineRule="auto"/>
      <w:ind w:firstLine="0"/>
      <w:jc w:val="both"/>
    </w:pPr>
    <w:rPr>
      <w:rFonts w:eastAsia="SimSun" w:asciiTheme="majorBidi" w:hAnsiTheme="majorBidi" w:cstheme="majorBidi"/>
      <w:b/>
      <w:bCs/>
      <w:color w:val="000000"/>
      <w:kern w:val="2"/>
      <w:sz w:val="24"/>
      <w:szCs w:val="24"/>
      <w:lang w:val="en-GB" w:eastAsia="zh-CN"/>
    </w:rPr>
  </w:style>
  <w:style w:type="character" w:customStyle="1" w:styleId="43">
    <w:name w:val="H1 Char"/>
    <w:link w:val="42"/>
    <w:qFormat/>
    <w:locked/>
    <w:uiPriority w:val="0"/>
    <w:rPr>
      <w:rFonts w:eastAsia="SimSun" w:asciiTheme="majorBidi" w:hAnsiTheme="majorBidi"/>
      <w:b/>
      <w:bCs/>
      <w:sz w:val="24"/>
      <w:szCs w:val="24"/>
      <w:lang w:val="en-GB" w:eastAsia="zh-CN"/>
    </w:rPr>
  </w:style>
  <w:style w:type="paragraph" w:customStyle="1" w:styleId="44">
    <w:name w:val="P"/>
    <w:basedOn w:val="1"/>
    <w:link w:val="45"/>
    <w:qFormat/>
    <w:uiPriority w:val="0"/>
    <w:pPr>
      <w:autoSpaceDE w:val="0"/>
      <w:autoSpaceDN w:val="0"/>
      <w:adjustRightInd w:val="0"/>
      <w:spacing w:after="240" w:line="276" w:lineRule="auto"/>
      <w:ind w:firstLine="720"/>
      <w:jc w:val="both"/>
    </w:pPr>
    <w:rPr>
      <w:rFonts w:eastAsia="SimSun" w:asciiTheme="majorBidi" w:hAnsiTheme="majorBidi" w:cstheme="majorBidi"/>
      <w:color w:val="000000"/>
      <w:sz w:val="24"/>
      <w:szCs w:val="24"/>
      <w:lang w:val="en-GB" w:eastAsia="zh-CN"/>
    </w:rPr>
  </w:style>
  <w:style w:type="character" w:customStyle="1" w:styleId="45">
    <w:name w:val="P Char"/>
    <w:link w:val="44"/>
    <w:qFormat/>
    <w:uiPriority w:val="0"/>
    <w:rPr>
      <w:rFonts w:eastAsia="SimSun" w:asciiTheme="majorBidi" w:hAnsiTheme="majorBidi"/>
      <w:kern w:val="0"/>
      <w:sz w:val="24"/>
      <w:szCs w:val="24"/>
      <w:lang w:val="en-GB" w:eastAsia="zh-CN"/>
    </w:rPr>
  </w:style>
  <w:style w:type="character" w:customStyle="1" w:styleId="46">
    <w:name w:val="apple-converted-space"/>
    <w:basedOn w:val="17"/>
    <w:qFormat/>
    <w:uiPriority w:val="0"/>
  </w:style>
  <w:style w:type="character" w:customStyle="1" w:styleId="47">
    <w:name w:val="رأس الصفحة Char"/>
    <w:basedOn w:val="17"/>
    <w:link w:val="13"/>
    <w:qFormat/>
    <w:uiPriority w:val="99"/>
    <w:rPr>
      <w:rFonts w:asciiTheme="minorHAnsi" w:hAnsiTheme="minorHAnsi" w:cstheme="minorBidi"/>
      <w:color w:val="auto"/>
      <w:kern w:val="0"/>
      <w:sz w:val="22"/>
      <w:szCs w:val="22"/>
    </w:rPr>
  </w:style>
  <w:style w:type="character" w:customStyle="1" w:styleId="48">
    <w:name w:val="تذييل الصفحة Char"/>
    <w:basedOn w:val="17"/>
    <w:link w:val="12"/>
    <w:qFormat/>
    <w:uiPriority w:val="99"/>
    <w:rPr>
      <w:rFonts w:asciiTheme="minorHAnsi" w:hAnsiTheme="minorHAnsi" w:cstheme="minorBidi"/>
      <w:color w:val="auto"/>
      <w:kern w:val="0"/>
      <w:sz w:val="22"/>
      <w:szCs w:val="22"/>
    </w:rPr>
  </w:style>
  <w:style w:type="character" w:customStyle="1" w:styleId="49">
    <w:name w:val="نص في بالون Char"/>
    <w:basedOn w:val="17"/>
    <w:link w:val="11"/>
    <w:semiHidden/>
    <w:qFormat/>
    <w:uiPriority w:val="99"/>
    <w:rPr>
      <w:rFonts w:ascii="Tahoma" w:hAnsi="Tahoma" w:cs="Tahoma"/>
      <w:color w:val="auto"/>
      <w:kern w:val="0"/>
      <w:sz w:val="16"/>
      <w:szCs w:val="16"/>
    </w:rPr>
  </w:style>
  <w:style w:type="paragraph" w:customStyle="1" w:styleId="50">
    <w:name w:val="No Spacing"/>
    <w:link w:val="51"/>
    <w:qFormat/>
    <w:uiPriority w:val="1"/>
    <w:rPr>
      <w:rFonts w:ascii="Calibri" w:hAnsi="Calibri" w:eastAsia="MS Mincho" w:cs="Arial"/>
      <w:sz w:val="22"/>
      <w:szCs w:val="22"/>
      <w:lang w:val="en-US" w:eastAsia="ja-JP" w:bidi="ar-SA"/>
    </w:rPr>
  </w:style>
  <w:style w:type="character" w:customStyle="1" w:styleId="51">
    <w:name w:val="بلا تباعد Char"/>
    <w:link w:val="50"/>
    <w:qFormat/>
    <w:uiPriority w:val="1"/>
    <w:rPr>
      <w:rFonts w:ascii="Calibri" w:hAnsi="Calibri" w:eastAsia="MS Mincho" w:cs="Arial"/>
      <w:color w:val="auto"/>
      <w:kern w:val="0"/>
      <w:sz w:val="22"/>
      <w:szCs w:val="22"/>
      <w:lang w:eastAsia="ja-JP"/>
      <w14:ligatures w14:val="none"/>
    </w:rPr>
  </w:style>
  <w:style w:type="paragraph" w:customStyle="1" w:styleId="52">
    <w:name w:val="ParaAttribute8"/>
    <w:qFormat/>
    <w:uiPriority w:val="99"/>
    <w:pPr>
      <w:wordWrap w:val="0"/>
      <w:spacing w:before="100" w:after="100"/>
      <w:jc w:val="center"/>
    </w:pPr>
    <w:rPr>
      <w:rFonts w:ascii="Times New Roman" w:hAnsi="Times New Roman" w:eastAsia="Batang" w:cs="Times New Roman"/>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2978</Words>
  <Characters>16976</Characters>
  <Lines>141</Lines>
  <Paragraphs>39</Paragraphs>
  <TotalTime>0</TotalTime>
  <ScaleCrop>false</ScaleCrop>
  <LinksUpToDate>false</LinksUpToDate>
  <CharactersWithSpaces>19915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2026-02-04T15:51:00Z</dcterms:created>
  <dc:creator>Mostafa Maher</dc:creator>
  <cp:lastModifiedBy>iPhone</cp:lastModifiedBy>
  <cp:lastPrinted>2026-02-25T12:42:00Z</cp:lastPrinted>
  <dcterms:modified xsi:type="dcterms:W3CDTF">2026-03-09T22:36:06Z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af0b560e-c5df-4e71-8c30-4e1c3169e3fe</vt:lpwstr>
  </property>
  <property fmtid="{D5CDD505-2E9C-101B-9397-08002B2CF9AE}" pid="3" name="KSOProductBuildVer">
    <vt:lpwstr>3081-11.37.30</vt:lpwstr>
  </property>
  <property fmtid="{D5CDD505-2E9C-101B-9397-08002B2CF9AE}" pid="4" name="ICV">
    <vt:lpwstr>40A55434A59F4CBBA8785E950701DC99_12</vt:lpwstr>
  </property>
</Properties>
</file>